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42" w:rsidRDefault="00FD7B42" w:rsidP="00FD7B42">
      <w:pPr>
        <w:tabs>
          <w:tab w:val="left" w:pos="915"/>
          <w:tab w:val="center" w:pos="4680"/>
          <w:tab w:val="right" w:pos="9360"/>
        </w:tabs>
        <w:jc w:val="center"/>
        <w:rPr>
          <w:rFonts w:ascii="Arial" w:hAnsi="Arial" w:cs="Arial"/>
          <w:b/>
          <w:bCs/>
          <w:sz w:val="28"/>
          <w:szCs w:val="36"/>
        </w:rPr>
      </w:pPr>
      <w:r w:rsidRPr="00FD7B42">
        <w:rPr>
          <w:rFonts w:ascii="Arial" w:hAnsi="Arial" w:cs="Arial"/>
          <w:b/>
          <w:bCs/>
          <w:sz w:val="28"/>
          <w:szCs w:val="36"/>
        </w:rPr>
        <w:t>Governor’s Office of Disability Affairs</w:t>
      </w:r>
    </w:p>
    <w:p w:rsidR="00FD7B42" w:rsidRDefault="00FD7B42" w:rsidP="00FD7B42">
      <w:pPr>
        <w:widowControl/>
        <w:overflowPunct/>
        <w:autoSpaceDE/>
        <w:autoSpaceDN/>
        <w:adjustRightInd/>
        <w:jc w:val="center"/>
        <w:rPr>
          <w:rFonts w:ascii="Arial" w:eastAsia="Calibri" w:hAnsi="Arial" w:cs="Arial"/>
          <w:b/>
          <w:color w:val="auto"/>
          <w:kern w:val="0"/>
          <w:sz w:val="28"/>
          <w:szCs w:val="24"/>
        </w:rPr>
      </w:pPr>
      <w:r w:rsidRPr="00FD7B42">
        <w:rPr>
          <w:rFonts w:ascii="Arial" w:eastAsia="Calibri" w:hAnsi="Arial" w:cs="Arial"/>
          <w:b/>
          <w:color w:val="auto"/>
          <w:kern w:val="0"/>
          <w:sz w:val="28"/>
          <w:szCs w:val="24"/>
        </w:rPr>
        <w:t xml:space="preserve">State As a Model Employer </w:t>
      </w:r>
      <w:r w:rsidR="00573DBA">
        <w:rPr>
          <w:rFonts w:ascii="Arial" w:eastAsia="Calibri" w:hAnsi="Arial" w:cs="Arial"/>
          <w:b/>
          <w:color w:val="auto"/>
          <w:kern w:val="0"/>
          <w:sz w:val="28"/>
          <w:szCs w:val="24"/>
        </w:rPr>
        <w:t xml:space="preserve">(SAME) </w:t>
      </w:r>
      <w:r w:rsidRPr="00FD7B42">
        <w:rPr>
          <w:rFonts w:ascii="Arial" w:eastAsia="Calibri" w:hAnsi="Arial" w:cs="Arial"/>
          <w:b/>
          <w:color w:val="auto"/>
          <w:kern w:val="0"/>
          <w:sz w:val="28"/>
          <w:szCs w:val="24"/>
        </w:rPr>
        <w:t>Task Force</w:t>
      </w:r>
    </w:p>
    <w:p w:rsidR="00B363BD" w:rsidRPr="00EB0314" w:rsidRDefault="00B363BD" w:rsidP="00EB0314">
      <w:pPr>
        <w:widowControl/>
        <w:overflowPunct/>
        <w:autoSpaceDE/>
        <w:autoSpaceDN/>
        <w:adjustRightInd/>
        <w:jc w:val="center"/>
        <w:rPr>
          <w:rFonts w:ascii="Arial" w:eastAsia="Calibri" w:hAnsi="Arial" w:cs="Arial"/>
          <w:b/>
          <w:color w:val="auto"/>
          <w:kern w:val="0"/>
          <w:sz w:val="28"/>
          <w:szCs w:val="24"/>
        </w:rPr>
      </w:pPr>
      <w:r>
        <w:rPr>
          <w:rFonts w:ascii="Arial" w:eastAsia="Calibri" w:hAnsi="Arial" w:cs="Arial"/>
          <w:b/>
          <w:color w:val="auto"/>
          <w:kern w:val="0"/>
          <w:sz w:val="28"/>
          <w:szCs w:val="24"/>
        </w:rPr>
        <w:t>February 12</w:t>
      </w:r>
      <w:r w:rsidR="00FD7B42" w:rsidRPr="00FD7B42">
        <w:rPr>
          <w:rFonts w:ascii="Arial" w:eastAsia="Calibri" w:hAnsi="Arial" w:cs="Arial"/>
          <w:b/>
          <w:color w:val="auto"/>
          <w:kern w:val="0"/>
          <w:sz w:val="28"/>
          <w:szCs w:val="24"/>
        </w:rPr>
        <w:t>, 2020   9:00 – 10:00</w:t>
      </w:r>
    </w:p>
    <w:p w:rsidR="00FD7B42" w:rsidRPr="00FD7B42" w:rsidRDefault="00EB0314" w:rsidP="00FD7B42">
      <w:pPr>
        <w:jc w:val="center"/>
        <w:rPr>
          <w:rFonts w:ascii="Arial" w:hAnsi="Arial" w:cs="Arial"/>
          <w:b/>
          <w:bCs/>
          <w:iCs/>
          <w:color w:val="auto"/>
          <w:sz w:val="28"/>
          <w:szCs w:val="24"/>
        </w:rPr>
      </w:pPr>
      <w:r>
        <w:rPr>
          <w:rFonts w:ascii="Arial" w:hAnsi="Arial" w:cs="Arial"/>
          <w:b/>
          <w:bCs/>
          <w:iCs/>
          <w:color w:val="auto"/>
          <w:sz w:val="28"/>
          <w:szCs w:val="24"/>
        </w:rPr>
        <w:t>MINUTES</w:t>
      </w:r>
    </w:p>
    <w:p w:rsidR="0076772D" w:rsidRDefault="0076772D" w:rsidP="00813F71">
      <w:pPr>
        <w:spacing w:line="276" w:lineRule="auto"/>
        <w:rPr>
          <w:rFonts w:ascii="Arial" w:hAnsi="Arial" w:cs="Arial"/>
          <w:bCs/>
          <w:sz w:val="26"/>
          <w:szCs w:val="26"/>
        </w:rPr>
      </w:pPr>
    </w:p>
    <w:p w:rsidR="00813F71" w:rsidRPr="00B51BC3" w:rsidRDefault="00153135" w:rsidP="00813F71">
      <w:pPr>
        <w:spacing w:line="276" w:lineRule="auto"/>
        <w:rPr>
          <w:rFonts w:ascii="Arial" w:hAnsi="Arial" w:cs="Arial"/>
          <w:bCs/>
          <w:sz w:val="24"/>
          <w:szCs w:val="24"/>
        </w:rPr>
      </w:pPr>
      <w:r w:rsidRPr="00B51BC3">
        <w:rPr>
          <w:rFonts w:ascii="Arial" w:hAnsi="Arial" w:cs="Arial"/>
          <w:bCs/>
          <w:sz w:val="24"/>
          <w:szCs w:val="24"/>
        </w:rPr>
        <w:t>Call to Order</w:t>
      </w:r>
    </w:p>
    <w:p w:rsidR="00B363BD" w:rsidRPr="00B51BC3" w:rsidRDefault="00B363BD" w:rsidP="00DD26EA">
      <w:pPr>
        <w:spacing w:line="276" w:lineRule="auto"/>
        <w:rPr>
          <w:rFonts w:ascii="Arial" w:hAnsi="Arial" w:cs="Arial"/>
          <w:bCs/>
          <w:sz w:val="24"/>
          <w:szCs w:val="24"/>
        </w:rPr>
      </w:pPr>
      <w:r w:rsidRPr="00B51BC3">
        <w:rPr>
          <w:rFonts w:ascii="Arial" w:hAnsi="Arial" w:cs="Arial"/>
          <w:bCs/>
          <w:sz w:val="24"/>
          <w:szCs w:val="24"/>
        </w:rPr>
        <w:t>Presentation on Pre-Employment Transition Services (Pre-ETS)</w:t>
      </w:r>
    </w:p>
    <w:p w:rsidR="00B363BD" w:rsidRPr="00B51BC3" w:rsidRDefault="00B363BD" w:rsidP="00DD26EA">
      <w:pPr>
        <w:spacing w:line="276" w:lineRule="auto"/>
        <w:rPr>
          <w:rFonts w:ascii="Arial" w:hAnsi="Arial" w:cs="Arial"/>
          <w:bCs/>
          <w:sz w:val="24"/>
          <w:szCs w:val="24"/>
        </w:rPr>
      </w:pPr>
      <w:r w:rsidRPr="00B51BC3">
        <w:rPr>
          <w:rFonts w:ascii="Arial" w:hAnsi="Arial" w:cs="Arial"/>
          <w:bCs/>
          <w:sz w:val="24"/>
          <w:szCs w:val="24"/>
        </w:rPr>
        <w:tab/>
        <w:t>by Louisiana Rehabilitation Services (LRS)</w:t>
      </w:r>
    </w:p>
    <w:p w:rsidR="00153135" w:rsidRPr="00B51BC3" w:rsidRDefault="00153135" w:rsidP="00DD26EA">
      <w:pPr>
        <w:spacing w:line="276" w:lineRule="auto"/>
        <w:rPr>
          <w:rFonts w:ascii="Arial" w:hAnsi="Arial" w:cs="Arial"/>
          <w:bCs/>
          <w:sz w:val="24"/>
          <w:szCs w:val="24"/>
        </w:rPr>
      </w:pPr>
    </w:p>
    <w:p w:rsidR="00153135" w:rsidRPr="00B51BC3" w:rsidRDefault="00B51BC3" w:rsidP="00DD26EA">
      <w:pPr>
        <w:spacing w:line="276" w:lineRule="auto"/>
        <w:rPr>
          <w:rFonts w:ascii="Arial" w:hAnsi="Arial" w:cs="Arial"/>
          <w:bCs/>
          <w:sz w:val="24"/>
          <w:szCs w:val="24"/>
        </w:rPr>
      </w:pPr>
      <w:r w:rsidRPr="00B51BC3">
        <w:rPr>
          <w:rFonts w:ascii="Arial" w:hAnsi="Arial" w:cs="Arial"/>
          <w:bCs/>
          <w:sz w:val="24"/>
          <w:szCs w:val="24"/>
        </w:rPr>
        <w:t>O</w:t>
      </w:r>
      <w:r w:rsidR="00153135" w:rsidRPr="00B51BC3">
        <w:rPr>
          <w:rFonts w:ascii="Arial" w:hAnsi="Arial" w:cs="Arial"/>
          <w:bCs/>
          <w:sz w:val="24"/>
          <w:szCs w:val="24"/>
        </w:rPr>
        <w:t xml:space="preserve">ne of the </w:t>
      </w:r>
      <w:r w:rsidR="00143DAD" w:rsidRPr="00B51BC3">
        <w:rPr>
          <w:rFonts w:ascii="Arial" w:hAnsi="Arial" w:cs="Arial"/>
          <w:bCs/>
          <w:sz w:val="24"/>
          <w:szCs w:val="24"/>
        </w:rPr>
        <w:t>recommendations</w:t>
      </w:r>
      <w:r w:rsidR="00153135" w:rsidRPr="00B51BC3">
        <w:rPr>
          <w:rFonts w:ascii="Arial" w:hAnsi="Arial" w:cs="Arial"/>
          <w:bCs/>
          <w:sz w:val="24"/>
          <w:szCs w:val="24"/>
        </w:rPr>
        <w:t xml:space="preserve"> of the SAME report was to provide a more focused approach relative to Pre-Employment Transition Services. </w:t>
      </w:r>
    </w:p>
    <w:p w:rsidR="00153135" w:rsidRPr="00B51BC3" w:rsidRDefault="00153135" w:rsidP="00DD26EA">
      <w:pPr>
        <w:spacing w:line="276" w:lineRule="auto"/>
        <w:rPr>
          <w:rFonts w:ascii="Arial" w:hAnsi="Arial" w:cs="Arial"/>
          <w:bCs/>
          <w:sz w:val="24"/>
          <w:szCs w:val="24"/>
        </w:rPr>
      </w:pPr>
      <w:r w:rsidRPr="00B51BC3">
        <w:rPr>
          <w:rFonts w:ascii="Arial" w:hAnsi="Arial" w:cs="Arial"/>
          <w:bCs/>
          <w:sz w:val="24"/>
          <w:szCs w:val="24"/>
        </w:rPr>
        <w:t xml:space="preserve">Sigmund Morel provided a presentation on behalf of LRS to discuss </w:t>
      </w:r>
      <w:r w:rsidR="00143DAD" w:rsidRPr="00B51BC3">
        <w:rPr>
          <w:rFonts w:ascii="Arial" w:hAnsi="Arial" w:cs="Arial"/>
          <w:bCs/>
          <w:sz w:val="24"/>
          <w:szCs w:val="24"/>
        </w:rPr>
        <w:t>the department’s</w:t>
      </w:r>
      <w:r w:rsidRPr="00B51BC3">
        <w:rPr>
          <w:rFonts w:ascii="Arial" w:hAnsi="Arial" w:cs="Arial"/>
          <w:bCs/>
          <w:sz w:val="24"/>
          <w:szCs w:val="24"/>
        </w:rPr>
        <w:t xml:space="preserve"> Pre-ETS</w:t>
      </w:r>
      <w:r w:rsidR="00143DAD" w:rsidRPr="00B51BC3">
        <w:rPr>
          <w:rFonts w:ascii="Arial" w:hAnsi="Arial" w:cs="Arial"/>
          <w:bCs/>
          <w:sz w:val="24"/>
          <w:szCs w:val="24"/>
        </w:rPr>
        <w:t xml:space="preserve"> p</w:t>
      </w:r>
      <w:r w:rsidRPr="00B51BC3">
        <w:rPr>
          <w:rFonts w:ascii="Arial" w:hAnsi="Arial" w:cs="Arial"/>
          <w:bCs/>
          <w:sz w:val="24"/>
          <w:szCs w:val="24"/>
        </w:rPr>
        <w:t>rogram.</w:t>
      </w:r>
      <w:r w:rsidR="00143DAD" w:rsidRPr="00B51BC3">
        <w:rPr>
          <w:rFonts w:ascii="Arial" w:hAnsi="Arial" w:cs="Arial"/>
          <w:bCs/>
          <w:sz w:val="24"/>
          <w:szCs w:val="24"/>
        </w:rPr>
        <w:t xml:space="preserve"> It was designed for students to prepare for permanent</w:t>
      </w:r>
      <w:r w:rsidR="0045310C" w:rsidRPr="00B51BC3">
        <w:rPr>
          <w:rFonts w:ascii="Arial" w:hAnsi="Arial" w:cs="Arial"/>
          <w:bCs/>
          <w:sz w:val="24"/>
          <w:szCs w:val="24"/>
        </w:rPr>
        <w:t xml:space="preserve"> employment. Morel</w:t>
      </w:r>
      <w:r w:rsidR="00213EB3" w:rsidRPr="00B51BC3">
        <w:rPr>
          <w:rFonts w:ascii="Arial" w:hAnsi="Arial" w:cs="Arial"/>
          <w:bCs/>
          <w:sz w:val="24"/>
          <w:szCs w:val="24"/>
        </w:rPr>
        <w:t xml:space="preserve"> </w:t>
      </w:r>
      <w:r w:rsidR="00B51BC3" w:rsidRPr="00B51BC3">
        <w:rPr>
          <w:rFonts w:ascii="Arial" w:hAnsi="Arial" w:cs="Arial"/>
          <w:bCs/>
          <w:sz w:val="24"/>
          <w:szCs w:val="24"/>
        </w:rPr>
        <w:t>shared</w:t>
      </w:r>
      <w:r w:rsidR="00213EB3" w:rsidRPr="00B51BC3">
        <w:rPr>
          <w:rFonts w:ascii="Arial" w:hAnsi="Arial" w:cs="Arial"/>
          <w:bCs/>
          <w:sz w:val="24"/>
          <w:szCs w:val="24"/>
        </w:rPr>
        <w:t xml:space="preserve"> all of the necessary qualifications for a student</w:t>
      </w:r>
      <w:r w:rsidR="0045310C" w:rsidRPr="00B51BC3">
        <w:rPr>
          <w:rFonts w:ascii="Arial" w:hAnsi="Arial" w:cs="Arial"/>
          <w:bCs/>
          <w:sz w:val="24"/>
          <w:szCs w:val="24"/>
        </w:rPr>
        <w:t>/consumer</w:t>
      </w:r>
      <w:r w:rsidR="00213EB3" w:rsidRPr="00B51BC3">
        <w:rPr>
          <w:rFonts w:ascii="Arial" w:hAnsi="Arial" w:cs="Arial"/>
          <w:bCs/>
          <w:sz w:val="24"/>
          <w:szCs w:val="24"/>
        </w:rPr>
        <w:t xml:space="preserve"> to become eligible. </w:t>
      </w:r>
    </w:p>
    <w:p w:rsidR="00213EB3" w:rsidRPr="00B51BC3" w:rsidRDefault="00B51BC3" w:rsidP="00213EB3">
      <w:pPr>
        <w:spacing w:line="276" w:lineRule="auto"/>
        <w:rPr>
          <w:rFonts w:ascii="Arial" w:hAnsi="Arial" w:cs="Arial"/>
          <w:bCs/>
          <w:sz w:val="24"/>
          <w:szCs w:val="24"/>
        </w:rPr>
      </w:pPr>
      <w:r w:rsidRPr="00B51BC3">
        <w:rPr>
          <w:rFonts w:ascii="Arial" w:hAnsi="Arial" w:cs="Arial"/>
          <w:bCs/>
          <w:sz w:val="24"/>
          <w:szCs w:val="24"/>
        </w:rPr>
        <w:t>S</w:t>
      </w:r>
      <w:r w:rsidR="00213EB3" w:rsidRPr="00B51BC3">
        <w:rPr>
          <w:rFonts w:ascii="Arial" w:hAnsi="Arial" w:cs="Arial"/>
          <w:bCs/>
          <w:sz w:val="24"/>
          <w:szCs w:val="24"/>
        </w:rPr>
        <w:t xml:space="preserve">ervices are determined based on: what is the best fit for the consumer, and what jobs are available in the area. </w:t>
      </w:r>
    </w:p>
    <w:p w:rsidR="00213EB3" w:rsidRPr="00B51BC3" w:rsidRDefault="00213EB3" w:rsidP="00DD26EA">
      <w:pPr>
        <w:spacing w:line="276" w:lineRule="auto"/>
        <w:rPr>
          <w:rFonts w:ascii="Arial" w:hAnsi="Arial" w:cs="Arial"/>
          <w:bCs/>
          <w:sz w:val="24"/>
          <w:szCs w:val="24"/>
        </w:rPr>
      </w:pPr>
    </w:p>
    <w:p w:rsidR="00213EB3" w:rsidRPr="00B51BC3" w:rsidRDefault="00B51BC3" w:rsidP="00DD26EA">
      <w:pPr>
        <w:spacing w:line="276" w:lineRule="auto"/>
        <w:rPr>
          <w:rFonts w:ascii="Arial" w:hAnsi="Arial" w:cs="Arial"/>
          <w:bCs/>
          <w:sz w:val="24"/>
          <w:szCs w:val="24"/>
        </w:rPr>
      </w:pPr>
      <w:r w:rsidRPr="00B51BC3">
        <w:rPr>
          <w:rFonts w:ascii="Arial" w:hAnsi="Arial" w:cs="Arial"/>
          <w:bCs/>
          <w:sz w:val="24"/>
          <w:szCs w:val="24"/>
        </w:rPr>
        <w:t>The</w:t>
      </w:r>
      <w:r w:rsidR="00213EB3" w:rsidRPr="00B51BC3">
        <w:rPr>
          <w:rFonts w:ascii="Arial" w:hAnsi="Arial" w:cs="Arial"/>
          <w:bCs/>
          <w:sz w:val="24"/>
          <w:szCs w:val="24"/>
        </w:rPr>
        <w:t xml:space="preserve"> five core</w:t>
      </w:r>
      <w:r w:rsidR="0045310C" w:rsidRPr="00B51BC3">
        <w:rPr>
          <w:rFonts w:ascii="Arial" w:hAnsi="Arial" w:cs="Arial"/>
          <w:bCs/>
          <w:sz w:val="24"/>
          <w:szCs w:val="24"/>
        </w:rPr>
        <w:t xml:space="preserve"> elements</w:t>
      </w:r>
      <w:r w:rsidR="00213EB3" w:rsidRPr="00B51BC3">
        <w:rPr>
          <w:rFonts w:ascii="Arial" w:hAnsi="Arial" w:cs="Arial"/>
          <w:bCs/>
          <w:sz w:val="24"/>
          <w:szCs w:val="24"/>
        </w:rPr>
        <w:t xml:space="preserve"> of </w:t>
      </w:r>
      <w:r w:rsidR="0045310C" w:rsidRPr="00B51BC3">
        <w:rPr>
          <w:rFonts w:ascii="Arial" w:hAnsi="Arial" w:cs="Arial"/>
          <w:bCs/>
          <w:sz w:val="24"/>
          <w:szCs w:val="24"/>
        </w:rPr>
        <w:t xml:space="preserve">the </w:t>
      </w:r>
      <w:r w:rsidR="00213EB3" w:rsidRPr="00B51BC3">
        <w:rPr>
          <w:rFonts w:ascii="Arial" w:hAnsi="Arial" w:cs="Arial"/>
          <w:bCs/>
          <w:sz w:val="24"/>
          <w:szCs w:val="24"/>
        </w:rPr>
        <w:t xml:space="preserve">Pre-ETS </w:t>
      </w:r>
      <w:r w:rsidR="0045310C" w:rsidRPr="00B51BC3">
        <w:rPr>
          <w:rFonts w:ascii="Arial" w:hAnsi="Arial" w:cs="Arial"/>
          <w:bCs/>
          <w:sz w:val="24"/>
          <w:szCs w:val="24"/>
        </w:rPr>
        <w:t xml:space="preserve">program </w:t>
      </w:r>
      <w:r w:rsidR="00213EB3" w:rsidRPr="00B51BC3">
        <w:rPr>
          <w:rFonts w:ascii="Arial" w:hAnsi="Arial" w:cs="Arial"/>
          <w:bCs/>
          <w:sz w:val="24"/>
          <w:szCs w:val="24"/>
        </w:rPr>
        <w:t xml:space="preserve">are: </w:t>
      </w:r>
    </w:p>
    <w:p w:rsidR="00213EB3" w:rsidRPr="00B51BC3" w:rsidRDefault="00213EB3" w:rsidP="00DD26EA">
      <w:pPr>
        <w:spacing w:line="276" w:lineRule="auto"/>
        <w:rPr>
          <w:rFonts w:ascii="Arial" w:hAnsi="Arial" w:cs="Arial"/>
          <w:bCs/>
          <w:sz w:val="24"/>
          <w:szCs w:val="24"/>
        </w:rPr>
      </w:pPr>
      <w:r w:rsidRPr="00B51BC3">
        <w:rPr>
          <w:rFonts w:ascii="Arial" w:hAnsi="Arial" w:cs="Arial"/>
          <w:bCs/>
          <w:sz w:val="24"/>
          <w:szCs w:val="24"/>
        </w:rPr>
        <w:t>1)</w:t>
      </w:r>
      <w:r w:rsidR="00B51BC3" w:rsidRPr="00B51BC3">
        <w:rPr>
          <w:rFonts w:ascii="Arial" w:hAnsi="Arial" w:cs="Arial"/>
          <w:bCs/>
          <w:sz w:val="24"/>
          <w:szCs w:val="24"/>
        </w:rPr>
        <w:tab/>
      </w:r>
      <w:r w:rsidRPr="00B51BC3">
        <w:rPr>
          <w:rFonts w:ascii="Arial" w:hAnsi="Arial" w:cs="Arial"/>
          <w:bCs/>
          <w:sz w:val="24"/>
          <w:szCs w:val="24"/>
        </w:rPr>
        <w:t xml:space="preserve">Job exploration counseling, </w:t>
      </w:r>
    </w:p>
    <w:p w:rsidR="00213EB3" w:rsidRPr="00B51BC3" w:rsidRDefault="00213EB3" w:rsidP="00DD26EA">
      <w:pPr>
        <w:spacing w:line="276" w:lineRule="auto"/>
        <w:rPr>
          <w:rFonts w:ascii="Arial" w:hAnsi="Arial" w:cs="Arial"/>
          <w:bCs/>
          <w:sz w:val="24"/>
          <w:szCs w:val="24"/>
        </w:rPr>
      </w:pPr>
      <w:r w:rsidRPr="00B51BC3">
        <w:rPr>
          <w:rFonts w:ascii="Arial" w:hAnsi="Arial" w:cs="Arial"/>
          <w:bCs/>
          <w:sz w:val="24"/>
          <w:szCs w:val="24"/>
        </w:rPr>
        <w:t>2)</w:t>
      </w:r>
      <w:r w:rsidR="00B51BC3" w:rsidRPr="00B51BC3">
        <w:rPr>
          <w:rFonts w:ascii="Arial" w:hAnsi="Arial" w:cs="Arial"/>
          <w:bCs/>
          <w:sz w:val="24"/>
          <w:szCs w:val="24"/>
        </w:rPr>
        <w:tab/>
        <w:t>C</w:t>
      </w:r>
      <w:r w:rsidRPr="00B51BC3">
        <w:rPr>
          <w:rFonts w:ascii="Arial" w:hAnsi="Arial" w:cs="Arial"/>
          <w:bCs/>
          <w:sz w:val="24"/>
          <w:szCs w:val="24"/>
        </w:rPr>
        <w:t xml:space="preserve">ounseling on post-secondary opportunities, </w:t>
      </w:r>
    </w:p>
    <w:p w:rsidR="00213EB3" w:rsidRPr="00B51BC3" w:rsidRDefault="00213EB3" w:rsidP="00DD26EA">
      <w:pPr>
        <w:spacing w:line="276" w:lineRule="auto"/>
        <w:rPr>
          <w:rFonts w:ascii="Arial" w:hAnsi="Arial" w:cs="Arial"/>
          <w:bCs/>
          <w:sz w:val="24"/>
          <w:szCs w:val="24"/>
        </w:rPr>
      </w:pPr>
      <w:r w:rsidRPr="00B51BC3">
        <w:rPr>
          <w:rFonts w:ascii="Arial" w:hAnsi="Arial" w:cs="Arial"/>
          <w:bCs/>
          <w:sz w:val="24"/>
          <w:szCs w:val="24"/>
        </w:rPr>
        <w:t xml:space="preserve">3) </w:t>
      </w:r>
      <w:r w:rsidR="00B51BC3" w:rsidRPr="00B51BC3">
        <w:rPr>
          <w:rFonts w:ascii="Arial" w:hAnsi="Arial" w:cs="Arial"/>
          <w:bCs/>
          <w:sz w:val="24"/>
          <w:szCs w:val="24"/>
        </w:rPr>
        <w:tab/>
        <w:t>W</w:t>
      </w:r>
      <w:r w:rsidRPr="00B51BC3">
        <w:rPr>
          <w:rFonts w:ascii="Arial" w:hAnsi="Arial" w:cs="Arial"/>
          <w:bCs/>
          <w:sz w:val="24"/>
          <w:szCs w:val="24"/>
        </w:rPr>
        <w:t xml:space="preserve">orkforce readiness training, </w:t>
      </w:r>
    </w:p>
    <w:p w:rsidR="00213EB3" w:rsidRPr="00B51BC3" w:rsidRDefault="00213EB3" w:rsidP="00DD26EA">
      <w:pPr>
        <w:spacing w:line="276" w:lineRule="auto"/>
        <w:rPr>
          <w:rFonts w:ascii="Arial" w:hAnsi="Arial" w:cs="Arial"/>
          <w:bCs/>
          <w:sz w:val="24"/>
          <w:szCs w:val="24"/>
        </w:rPr>
      </w:pPr>
      <w:r w:rsidRPr="00B51BC3">
        <w:rPr>
          <w:rFonts w:ascii="Arial" w:hAnsi="Arial" w:cs="Arial"/>
          <w:bCs/>
          <w:sz w:val="24"/>
          <w:szCs w:val="24"/>
        </w:rPr>
        <w:t xml:space="preserve">4) </w:t>
      </w:r>
      <w:r w:rsidR="00B51BC3" w:rsidRPr="00B51BC3">
        <w:rPr>
          <w:rFonts w:ascii="Arial" w:hAnsi="Arial" w:cs="Arial"/>
          <w:bCs/>
          <w:sz w:val="24"/>
          <w:szCs w:val="24"/>
        </w:rPr>
        <w:tab/>
        <w:t>T</w:t>
      </w:r>
      <w:r w:rsidRPr="00B51BC3">
        <w:rPr>
          <w:rFonts w:ascii="Arial" w:hAnsi="Arial" w:cs="Arial"/>
          <w:bCs/>
          <w:sz w:val="24"/>
          <w:szCs w:val="24"/>
        </w:rPr>
        <w:t xml:space="preserve">raining self-advocacy, and </w:t>
      </w:r>
    </w:p>
    <w:p w:rsidR="00213EB3" w:rsidRPr="00B51BC3" w:rsidRDefault="00213EB3" w:rsidP="00DD26EA">
      <w:pPr>
        <w:spacing w:line="276" w:lineRule="auto"/>
        <w:rPr>
          <w:rFonts w:ascii="Arial" w:hAnsi="Arial" w:cs="Arial"/>
          <w:bCs/>
          <w:sz w:val="24"/>
          <w:szCs w:val="24"/>
        </w:rPr>
      </w:pPr>
      <w:r w:rsidRPr="00B51BC3">
        <w:rPr>
          <w:rFonts w:ascii="Arial" w:hAnsi="Arial" w:cs="Arial"/>
          <w:bCs/>
          <w:sz w:val="24"/>
          <w:szCs w:val="24"/>
        </w:rPr>
        <w:t xml:space="preserve">5) </w:t>
      </w:r>
      <w:r w:rsidR="00B51BC3" w:rsidRPr="00B51BC3">
        <w:rPr>
          <w:rFonts w:ascii="Arial" w:hAnsi="Arial" w:cs="Arial"/>
          <w:bCs/>
          <w:sz w:val="24"/>
          <w:szCs w:val="24"/>
        </w:rPr>
        <w:tab/>
        <w:t>W</w:t>
      </w:r>
      <w:r w:rsidRPr="00B51BC3">
        <w:rPr>
          <w:rFonts w:ascii="Arial" w:hAnsi="Arial" w:cs="Arial"/>
          <w:bCs/>
          <w:sz w:val="24"/>
          <w:szCs w:val="24"/>
        </w:rPr>
        <w:t xml:space="preserve">ork based learning experiences (paid or non-paid). </w:t>
      </w:r>
    </w:p>
    <w:p w:rsidR="00213EB3" w:rsidRPr="00B51BC3" w:rsidRDefault="00213EB3" w:rsidP="00DD26EA">
      <w:pPr>
        <w:spacing w:line="276" w:lineRule="auto"/>
        <w:rPr>
          <w:rFonts w:ascii="Arial" w:hAnsi="Arial" w:cs="Arial"/>
          <w:bCs/>
          <w:sz w:val="24"/>
          <w:szCs w:val="24"/>
        </w:rPr>
      </w:pPr>
    </w:p>
    <w:p w:rsidR="00213EB3" w:rsidRPr="00B51BC3" w:rsidRDefault="00B51BC3" w:rsidP="00DD26EA">
      <w:pPr>
        <w:spacing w:line="276" w:lineRule="auto"/>
        <w:rPr>
          <w:rFonts w:ascii="Arial" w:hAnsi="Arial" w:cs="Arial"/>
          <w:bCs/>
          <w:sz w:val="24"/>
          <w:szCs w:val="24"/>
        </w:rPr>
      </w:pPr>
      <w:r w:rsidRPr="00B51BC3">
        <w:rPr>
          <w:rFonts w:ascii="Arial" w:hAnsi="Arial" w:cs="Arial"/>
          <w:bCs/>
          <w:sz w:val="24"/>
          <w:szCs w:val="24"/>
        </w:rPr>
        <w:t>W</w:t>
      </w:r>
      <w:r w:rsidR="00213EB3" w:rsidRPr="00B51BC3">
        <w:rPr>
          <w:rFonts w:ascii="Arial" w:hAnsi="Arial" w:cs="Arial"/>
          <w:bCs/>
          <w:sz w:val="24"/>
          <w:szCs w:val="24"/>
        </w:rPr>
        <w:t>ork based learning experiences</w:t>
      </w:r>
      <w:r w:rsidRPr="00B51BC3">
        <w:rPr>
          <w:rFonts w:ascii="Arial" w:hAnsi="Arial" w:cs="Arial"/>
          <w:bCs/>
          <w:sz w:val="24"/>
          <w:szCs w:val="24"/>
        </w:rPr>
        <w:t xml:space="preserve"> (WBLEs)</w:t>
      </w:r>
      <w:r w:rsidR="00213EB3" w:rsidRPr="00B51BC3">
        <w:rPr>
          <w:rFonts w:ascii="Arial" w:hAnsi="Arial" w:cs="Arial"/>
          <w:bCs/>
          <w:sz w:val="24"/>
          <w:szCs w:val="24"/>
        </w:rPr>
        <w:t xml:space="preserve"> is the most important core element of the Pre-ETS system. It is temporary employment, up to 240 hours. The </w:t>
      </w:r>
      <w:r w:rsidR="0045310C" w:rsidRPr="00B51BC3">
        <w:rPr>
          <w:rFonts w:ascii="Arial" w:hAnsi="Arial" w:cs="Arial"/>
          <w:bCs/>
          <w:sz w:val="24"/>
          <w:szCs w:val="24"/>
        </w:rPr>
        <w:t>individual</w:t>
      </w:r>
      <w:r w:rsidR="00213EB3" w:rsidRPr="00B51BC3">
        <w:rPr>
          <w:rFonts w:ascii="Arial" w:hAnsi="Arial" w:cs="Arial"/>
          <w:bCs/>
          <w:sz w:val="24"/>
          <w:szCs w:val="24"/>
        </w:rPr>
        <w:t xml:space="preserve"> with a disability must earn the same salary as those </w:t>
      </w:r>
      <w:r w:rsidR="0045310C" w:rsidRPr="00B51BC3">
        <w:rPr>
          <w:rFonts w:ascii="Arial" w:hAnsi="Arial" w:cs="Arial"/>
          <w:bCs/>
          <w:sz w:val="24"/>
          <w:szCs w:val="24"/>
        </w:rPr>
        <w:t>similarly</w:t>
      </w:r>
      <w:r w:rsidR="00213EB3" w:rsidRPr="00B51BC3">
        <w:rPr>
          <w:rFonts w:ascii="Arial" w:hAnsi="Arial" w:cs="Arial"/>
          <w:bCs/>
          <w:sz w:val="24"/>
          <w:szCs w:val="24"/>
        </w:rPr>
        <w:t xml:space="preserve"> situated in the same job description. The temporary employment may turn into a </w:t>
      </w:r>
      <w:r w:rsidR="0045310C" w:rsidRPr="00B51BC3">
        <w:rPr>
          <w:rFonts w:ascii="Arial" w:hAnsi="Arial" w:cs="Arial"/>
          <w:bCs/>
          <w:sz w:val="24"/>
          <w:szCs w:val="24"/>
        </w:rPr>
        <w:t>permanent</w:t>
      </w:r>
      <w:r w:rsidR="00213EB3" w:rsidRPr="00B51BC3">
        <w:rPr>
          <w:rFonts w:ascii="Arial" w:hAnsi="Arial" w:cs="Arial"/>
          <w:bCs/>
          <w:sz w:val="24"/>
          <w:szCs w:val="24"/>
        </w:rPr>
        <w:t xml:space="preserve"> position; however, a new plan of employment must be drafted. </w:t>
      </w:r>
    </w:p>
    <w:p w:rsidR="0045310C" w:rsidRPr="00B51BC3" w:rsidRDefault="0045310C" w:rsidP="00DD26EA">
      <w:pPr>
        <w:spacing w:line="276" w:lineRule="auto"/>
        <w:rPr>
          <w:rFonts w:ascii="Arial" w:hAnsi="Arial" w:cs="Arial"/>
          <w:bCs/>
          <w:sz w:val="24"/>
          <w:szCs w:val="24"/>
        </w:rPr>
      </w:pPr>
      <w:r w:rsidRPr="00B51BC3">
        <w:rPr>
          <w:rFonts w:ascii="Arial" w:hAnsi="Arial" w:cs="Arial"/>
          <w:bCs/>
          <w:sz w:val="24"/>
          <w:szCs w:val="24"/>
        </w:rPr>
        <w:t xml:space="preserve">In regards to work based learning experiences, LRS will reimburse the consumer salary up to 40 hours </w:t>
      </w:r>
      <w:r w:rsidR="00B51BC3" w:rsidRPr="00B51BC3">
        <w:rPr>
          <w:rFonts w:ascii="Arial" w:hAnsi="Arial" w:cs="Arial"/>
          <w:bCs/>
          <w:sz w:val="24"/>
          <w:szCs w:val="24"/>
        </w:rPr>
        <w:t xml:space="preserve">per week </w:t>
      </w:r>
      <w:r w:rsidRPr="00B51BC3">
        <w:rPr>
          <w:rFonts w:ascii="Arial" w:hAnsi="Arial" w:cs="Arial"/>
          <w:bCs/>
          <w:sz w:val="24"/>
          <w:szCs w:val="24"/>
        </w:rPr>
        <w:t xml:space="preserve">to the employer, and 9.3% </w:t>
      </w:r>
      <w:r w:rsidR="00B51BC3" w:rsidRPr="00B51BC3">
        <w:rPr>
          <w:rFonts w:ascii="Arial" w:hAnsi="Arial" w:cs="Arial"/>
          <w:bCs/>
          <w:sz w:val="24"/>
          <w:szCs w:val="24"/>
        </w:rPr>
        <w:t xml:space="preserve">above wages </w:t>
      </w:r>
      <w:r w:rsidRPr="00B51BC3">
        <w:rPr>
          <w:rFonts w:ascii="Arial" w:hAnsi="Arial" w:cs="Arial"/>
          <w:bCs/>
          <w:sz w:val="24"/>
          <w:szCs w:val="24"/>
        </w:rPr>
        <w:t xml:space="preserve">to cover other cost. There are situations that trainers can be reimbursed if the consumer requires it. </w:t>
      </w:r>
    </w:p>
    <w:p w:rsidR="0045310C" w:rsidRPr="00B51BC3" w:rsidRDefault="0045310C" w:rsidP="00DD26EA">
      <w:pPr>
        <w:spacing w:line="276" w:lineRule="auto"/>
        <w:rPr>
          <w:rFonts w:ascii="Arial" w:hAnsi="Arial" w:cs="Arial"/>
          <w:bCs/>
          <w:sz w:val="24"/>
          <w:szCs w:val="24"/>
        </w:rPr>
      </w:pPr>
      <w:r w:rsidRPr="00B51BC3">
        <w:rPr>
          <w:rFonts w:ascii="Arial" w:hAnsi="Arial" w:cs="Arial"/>
          <w:bCs/>
          <w:sz w:val="24"/>
          <w:szCs w:val="24"/>
        </w:rPr>
        <w:t xml:space="preserve">LRS must set up employers to become vendors, and they must complete a W-9 and a direct deposit form. </w:t>
      </w:r>
    </w:p>
    <w:p w:rsidR="00B51BC3" w:rsidRPr="00B51BC3" w:rsidRDefault="0045310C" w:rsidP="00DD26EA">
      <w:pPr>
        <w:spacing w:line="276" w:lineRule="auto"/>
        <w:rPr>
          <w:rFonts w:ascii="Arial" w:hAnsi="Arial" w:cs="Arial"/>
          <w:bCs/>
          <w:sz w:val="24"/>
          <w:szCs w:val="24"/>
        </w:rPr>
      </w:pPr>
      <w:r w:rsidRPr="00B51BC3">
        <w:rPr>
          <w:rFonts w:ascii="Arial" w:hAnsi="Arial" w:cs="Arial"/>
          <w:bCs/>
          <w:sz w:val="24"/>
          <w:szCs w:val="24"/>
        </w:rPr>
        <w:t xml:space="preserve">LRS suggested that state agencies are a great place for individuals with disabilities to gain employment experiences. It was suggested that the SAME Taskforce help provide avenues for student employment. Information will be provided to the SAME Taskforce members to get in touch with the LRS regional offices and to contact Mr. Morel. </w:t>
      </w:r>
    </w:p>
    <w:p w:rsidR="00B51BC3" w:rsidRPr="00B51BC3" w:rsidRDefault="00B51BC3" w:rsidP="00B51BC3">
      <w:pPr>
        <w:spacing w:line="276" w:lineRule="auto"/>
        <w:rPr>
          <w:rFonts w:ascii="Arial" w:hAnsi="Arial" w:cs="Arial"/>
          <w:bCs/>
          <w:sz w:val="24"/>
          <w:szCs w:val="24"/>
        </w:rPr>
      </w:pPr>
      <w:r w:rsidRPr="00B51BC3">
        <w:rPr>
          <w:rFonts w:ascii="Arial" w:hAnsi="Arial" w:cs="Arial"/>
          <w:bCs/>
          <w:sz w:val="24"/>
          <w:szCs w:val="24"/>
        </w:rPr>
        <w:t xml:space="preserve">Practical solutions should be created to Pre-ETS eligible consumers to state </w:t>
      </w:r>
      <w:r w:rsidRPr="00B51BC3">
        <w:rPr>
          <w:rFonts w:ascii="Arial" w:hAnsi="Arial" w:cs="Arial"/>
          <w:bCs/>
          <w:sz w:val="24"/>
          <w:szCs w:val="24"/>
        </w:rPr>
        <w:lastRenderedPageBreak/>
        <w:t xml:space="preserve">departments. </w:t>
      </w:r>
    </w:p>
    <w:p w:rsidR="00B51BC3" w:rsidRPr="00B51BC3" w:rsidRDefault="00B51BC3" w:rsidP="00B51BC3">
      <w:pPr>
        <w:spacing w:line="276" w:lineRule="auto"/>
        <w:rPr>
          <w:rFonts w:ascii="Arial" w:hAnsi="Arial" w:cs="Arial"/>
          <w:bCs/>
          <w:sz w:val="24"/>
          <w:szCs w:val="24"/>
        </w:rPr>
      </w:pPr>
      <w:r w:rsidRPr="00B51BC3">
        <w:rPr>
          <w:rFonts w:ascii="Arial" w:hAnsi="Arial" w:cs="Arial"/>
          <w:bCs/>
          <w:sz w:val="24"/>
          <w:szCs w:val="24"/>
        </w:rPr>
        <w:t xml:space="preserve">SAME taskforce members should provide suggestions and appropriate information (via a statewide plan) to LRS, their state agency heads, and their regional directors that will help provide this linkage. There should be a plan to work with vendors/employers on the local level; things happen better on a regional level. A comprehensive plan may </w:t>
      </w:r>
      <w:r>
        <w:rPr>
          <w:rFonts w:ascii="Arial" w:hAnsi="Arial" w:cs="Arial"/>
          <w:bCs/>
          <w:sz w:val="24"/>
          <w:szCs w:val="24"/>
        </w:rPr>
        <w:t xml:space="preserve">not work in all areas/regions. </w:t>
      </w:r>
    </w:p>
    <w:p w:rsidR="00B51BC3" w:rsidRPr="00B51BC3" w:rsidRDefault="00B51BC3" w:rsidP="00B51BC3">
      <w:pPr>
        <w:spacing w:line="276" w:lineRule="auto"/>
        <w:rPr>
          <w:rFonts w:ascii="Arial" w:hAnsi="Arial" w:cs="Arial"/>
          <w:bCs/>
          <w:sz w:val="24"/>
          <w:szCs w:val="24"/>
        </w:rPr>
      </w:pPr>
      <w:r w:rsidRPr="00B51BC3">
        <w:rPr>
          <w:rFonts w:ascii="Arial" w:hAnsi="Arial" w:cs="Arial"/>
          <w:bCs/>
          <w:sz w:val="24"/>
          <w:szCs w:val="24"/>
        </w:rPr>
        <w:t xml:space="preserve">It is important to have a methodology or plan to reach out to state agencies and help them identify potential room for employment opportunities for students/consumers. </w:t>
      </w:r>
    </w:p>
    <w:p w:rsidR="00B51BC3" w:rsidRPr="00B51BC3" w:rsidRDefault="00B51BC3" w:rsidP="00B51BC3">
      <w:pPr>
        <w:spacing w:line="276" w:lineRule="auto"/>
        <w:rPr>
          <w:rFonts w:ascii="Arial" w:hAnsi="Arial" w:cs="Arial"/>
          <w:bCs/>
          <w:sz w:val="24"/>
          <w:szCs w:val="24"/>
        </w:rPr>
      </w:pPr>
      <w:r w:rsidRPr="00B51BC3">
        <w:rPr>
          <w:rFonts w:ascii="Arial" w:hAnsi="Arial" w:cs="Arial"/>
          <w:bCs/>
          <w:sz w:val="24"/>
          <w:szCs w:val="24"/>
        </w:rPr>
        <w:t xml:space="preserve">In the past, a roadblock has occurred as it relates to pre-defined employment positions. </w:t>
      </w:r>
    </w:p>
    <w:p w:rsidR="00B51BC3" w:rsidRPr="00B51BC3" w:rsidRDefault="00B51BC3" w:rsidP="00B51BC3">
      <w:pPr>
        <w:spacing w:line="276" w:lineRule="auto"/>
        <w:rPr>
          <w:rFonts w:ascii="Arial" w:hAnsi="Arial" w:cs="Arial"/>
          <w:bCs/>
          <w:sz w:val="24"/>
          <w:szCs w:val="24"/>
        </w:rPr>
      </w:pPr>
      <w:r w:rsidRPr="00B51BC3">
        <w:rPr>
          <w:rFonts w:ascii="Arial" w:hAnsi="Arial" w:cs="Arial"/>
          <w:bCs/>
          <w:sz w:val="24"/>
          <w:szCs w:val="24"/>
        </w:rPr>
        <w:t xml:space="preserve">All vendors and state agencies contact the LRS regional offices to facilitate more job opportunities. </w:t>
      </w:r>
    </w:p>
    <w:p w:rsidR="00B51BC3" w:rsidRPr="00B51BC3" w:rsidRDefault="00B51BC3" w:rsidP="00B51BC3">
      <w:pPr>
        <w:spacing w:line="276" w:lineRule="auto"/>
        <w:rPr>
          <w:rFonts w:ascii="Arial" w:hAnsi="Arial" w:cs="Arial"/>
          <w:bCs/>
          <w:sz w:val="24"/>
          <w:szCs w:val="24"/>
        </w:rPr>
      </w:pPr>
    </w:p>
    <w:p w:rsidR="00B51BC3" w:rsidRPr="00B51BC3" w:rsidRDefault="00B51BC3" w:rsidP="00B51BC3">
      <w:pPr>
        <w:spacing w:line="276" w:lineRule="auto"/>
        <w:rPr>
          <w:rFonts w:ascii="Arial" w:hAnsi="Arial" w:cs="Arial"/>
          <w:bCs/>
          <w:sz w:val="24"/>
          <w:szCs w:val="24"/>
        </w:rPr>
      </w:pPr>
      <w:r w:rsidRPr="00B51BC3">
        <w:rPr>
          <w:rFonts w:ascii="Arial" w:hAnsi="Arial" w:cs="Arial"/>
          <w:bCs/>
          <w:sz w:val="24"/>
          <w:szCs w:val="24"/>
        </w:rPr>
        <w:t>LRS has a one-page plan relative to the Pre-ETS program, and it will be shared to participants of the SAME Taskforce. Mr. Morel will be available to all SAME Taskforce members should they need guidance or their questions answered relative to the Pre-ETS program. SAME taskforce members should volunteer the different strategies of what is effective and what is not from their agency’s employment plan.</w:t>
      </w:r>
    </w:p>
    <w:p w:rsidR="00B51BC3" w:rsidRPr="00B51BC3" w:rsidRDefault="00B51BC3" w:rsidP="00B51BC3">
      <w:pPr>
        <w:spacing w:line="276" w:lineRule="auto"/>
        <w:rPr>
          <w:rFonts w:ascii="Arial" w:hAnsi="Arial" w:cs="Arial"/>
          <w:bCs/>
          <w:sz w:val="24"/>
          <w:szCs w:val="24"/>
        </w:rPr>
      </w:pPr>
    </w:p>
    <w:p w:rsidR="00B51BC3" w:rsidRPr="00B51BC3" w:rsidRDefault="00B51BC3" w:rsidP="00B51BC3">
      <w:pPr>
        <w:spacing w:line="276" w:lineRule="auto"/>
        <w:rPr>
          <w:rFonts w:ascii="Arial" w:hAnsi="Arial" w:cs="Arial"/>
          <w:bCs/>
          <w:sz w:val="24"/>
          <w:szCs w:val="24"/>
        </w:rPr>
      </w:pPr>
      <w:r w:rsidRPr="00B51BC3">
        <w:rPr>
          <w:rFonts w:ascii="Arial" w:hAnsi="Arial" w:cs="Arial"/>
          <w:bCs/>
          <w:sz w:val="24"/>
          <w:szCs w:val="24"/>
        </w:rPr>
        <w:t xml:space="preserve">Cheryl S. suggested that a presentation be made to HR directors at the Division of Administration’s upcoming HR meeting.  </w:t>
      </w:r>
    </w:p>
    <w:p w:rsidR="00B363BD" w:rsidRPr="00B51BC3" w:rsidRDefault="00B363BD" w:rsidP="00B363BD">
      <w:pPr>
        <w:spacing w:line="276" w:lineRule="auto"/>
        <w:rPr>
          <w:rFonts w:ascii="Arial" w:hAnsi="Arial" w:cs="Arial"/>
          <w:bCs/>
          <w:sz w:val="24"/>
          <w:szCs w:val="24"/>
        </w:rPr>
      </w:pPr>
    </w:p>
    <w:p w:rsidR="00DD389E" w:rsidRPr="00B51BC3" w:rsidRDefault="00B363BD" w:rsidP="00B363BD">
      <w:pPr>
        <w:spacing w:line="276" w:lineRule="auto"/>
        <w:rPr>
          <w:rFonts w:ascii="Arial" w:hAnsi="Arial" w:cs="Arial"/>
          <w:b/>
          <w:bCs/>
          <w:sz w:val="24"/>
          <w:szCs w:val="24"/>
        </w:rPr>
      </w:pPr>
      <w:r w:rsidRPr="00B51BC3">
        <w:rPr>
          <w:rFonts w:ascii="Arial" w:hAnsi="Arial" w:cs="Arial"/>
          <w:b/>
          <w:bCs/>
          <w:sz w:val="24"/>
          <w:szCs w:val="24"/>
        </w:rPr>
        <w:t xml:space="preserve">Review Assignments for </w:t>
      </w:r>
      <w:r w:rsidR="0075175A" w:rsidRPr="00B51BC3">
        <w:rPr>
          <w:rFonts w:ascii="Arial" w:hAnsi="Arial" w:cs="Arial"/>
          <w:b/>
          <w:bCs/>
          <w:sz w:val="24"/>
          <w:szCs w:val="24"/>
        </w:rPr>
        <w:t xml:space="preserve">Review </w:t>
      </w:r>
      <w:r w:rsidRPr="00B51BC3">
        <w:rPr>
          <w:rFonts w:ascii="Arial" w:hAnsi="Arial" w:cs="Arial"/>
          <w:b/>
          <w:bCs/>
          <w:sz w:val="24"/>
          <w:szCs w:val="24"/>
        </w:rPr>
        <w:t>of SAME Report Recommendations</w:t>
      </w:r>
    </w:p>
    <w:p w:rsidR="0064222C" w:rsidRPr="00EB0314" w:rsidRDefault="0064222C" w:rsidP="00EB0314">
      <w:pPr>
        <w:pStyle w:val="ListParagraph"/>
        <w:numPr>
          <w:ilvl w:val="0"/>
          <w:numId w:val="50"/>
        </w:numPr>
        <w:spacing w:line="276" w:lineRule="auto"/>
        <w:rPr>
          <w:rFonts w:ascii="Arial" w:hAnsi="Arial" w:cs="Arial"/>
          <w:bCs/>
          <w:sz w:val="24"/>
          <w:szCs w:val="24"/>
        </w:rPr>
      </w:pPr>
      <w:bookmarkStart w:id="0" w:name="_GoBack"/>
      <w:r w:rsidRPr="00EB0314">
        <w:rPr>
          <w:rFonts w:ascii="Arial" w:hAnsi="Arial" w:cs="Arial"/>
          <w:bCs/>
          <w:sz w:val="24"/>
          <w:szCs w:val="24"/>
        </w:rPr>
        <w:t xml:space="preserve">Bambi provided a presentation via screen share to discuss the previously agreed upon SAME objectives and recommendations. </w:t>
      </w:r>
    </w:p>
    <w:p w:rsidR="0064222C" w:rsidRPr="00EB0314" w:rsidRDefault="0064222C" w:rsidP="00EB0314">
      <w:pPr>
        <w:pStyle w:val="ListParagraph"/>
        <w:numPr>
          <w:ilvl w:val="0"/>
          <w:numId w:val="50"/>
        </w:numPr>
        <w:spacing w:line="276" w:lineRule="auto"/>
        <w:rPr>
          <w:rFonts w:ascii="Arial" w:hAnsi="Arial" w:cs="Arial"/>
          <w:bCs/>
          <w:sz w:val="24"/>
          <w:szCs w:val="24"/>
        </w:rPr>
      </w:pPr>
      <w:r w:rsidRPr="00EB0314">
        <w:rPr>
          <w:rFonts w:ascii="Arial" w:hAnsi="Arial" w:cs="Arial"/>
          <w:bCs/>
          <w:sz w:val="24"/>
          <w:szCs w:val="24"/>
        </w:rPr>
        <w:t xml:space="preserve">DOTD has greatly </w:t>
      </w:r>
      <w:r w:rsidR="009845F4" w:rsidRPr="00EB0314">
        <w:rPr>
          <w:rFonts w:ascii="Arial" w:hAnsi="Arial" w:cs="Arial"/>
          <w:bCs/>
          <w:sz w:val="24"/>
          <w:szCs w:val="24"/>
        </w:rPr>
        <w:t>benefited</w:t>
      </w:r>
      <w:r w:rsidRPr="00EB0314">
        <w:rPr>
          <w:rFonts w:ascii="Arial" w:hAnsi="Arial" w:cs="Arial"/>
          <w:bCs/>
          <w:sz w:val="24"/>
          <w:szCs w:val="24"/>
        </w:rPr>
        <w:t xml:space="preserve"> from being a po</w:t>
      </w:r>
      <w:r w:rsidR="00B51BC3" w:rsidRPr="00EB0314">
        <w:rPr>
          <w:rFonts w:ascii="Arial" w:hAnsi="Arial" w:cs="Arial"/>
          <w:bCs/>
          <w:sz w:val="24"/>
          <w:szCs w:val="24"/>
        </w:rPr>
        <w:t xml:space="preserve">int of contact with LRS.  </w:t>
      </w:r>
      <w:r w:rsidRPr="00EB0314">
        <w:rPr>
          <w:rFonts w:ascii="Arial" w:hAnsi="Arial" w:cs="Arial"/>
          <w:bCs/>
          <w:sz w:val="24"/>
          <w:szCs w:val="24"/>
        </w:rPr>
        <w:t xml:space="preserve">DOTD is working through its </w:t>
      </w:r>
      <w:r w:rsidR="009845F4" w:rsidRPr="00EB0314">
        <w:rPr>
          <w:rFonts w:ascii="Arial" w:hAnsi="Arial" w:cs="Arial"/>
          <w:bCs/>
          <w:sz w:val="24"/>
          <w:szCs w:val="24"/>
        </w:rPr>
        <w:t xml:space="preserve">SAME </w:t>
      </w:r>
      <w:r w:rsidRPr="00EB0314">
        <w:rPr>
          <w:rFonts w:ascii="Arial" w:hAnsi="Arial" w:cs="Arial"/>
          <w:bCs/>
          <w:sz w:val="24"/>
          <w:szCs w:val="24"/>
        </w:rPr>
        <w:t>agency plan</w:t>
      </w:r>
      <w:r w:rsidR="009845F4" w:rsidRPr="00EB0314">
        <w:rPr>
          <w:rFonts w:ascii="Arial" w:hAnsi="Arial" w:cs="Arial"/>
          <w:bCs/>
          <w:sz w:val="24"/>
          <w:szCs w:val="24"/>
        </w:rPr>
        <w:t xml:space="preserve">. </w:t>
      </w:r>
    </w:p>
    <w:p w:rsidR="009845F4" w:rsidRPr="00EB0314" w:rsidRDefault="00B51BC3" w:rsidP="00EB0314">
      <w:pPr>
        <w:pStyle w:val="ListParagraph"/>
        <w:numPr>
          <w:ilvl w:val="0"/>
          <w:numId w:val="50"/>
        </w:numPr>
        <w:spacing w:line="276" w:lineRule="auto"/>
        <w:rPr>
          <w:rFonts w:ascii="Arial" w:hAnsi="Arial" w:cs="Arial"/>
          <w:bCs/>
          <w:sz w:val="24"/>
          <w:szCs w:val="24"/>
        </w:rPr>
      </w:pPr>
      <w:r w:rsidRPr="00EB0314">
        <w:rPr>
          <w:rFonts w:ascii="Arial" w:hAnsi="Arial" w:cs="Arial"/>
          <w:bCs/>
          <w:sz w:val="24"/>
          <w:szCs w:val="24"/>
        </w:rPr>
        <w:t>The</w:t>
      </w:r>
      <w:r w:rsidR="00A12C59" w:rsidRPr="00EB0314">
        <w:rPr>
          <w:rFonts w:ascii="Arial" w:hAnsi="Arial" w:cs="Arial"/>
          <w:bCs/>
          <w:sz w:val="24"/>
          <w:szCs w:val="24"/>
        </w:rPr>
        <w:t xml:space="preserve"> Department of Corrections uses the WAE’s</w:t>
      </w:r>
      <w:r w:rsidR="009845F4" w:rsidRPr="00EB0314">
        <w:rPr>
          <w:rFonts w:ascii="Arial" w:hAnsi="Arial" w:cs="Arial"/>
          <w:bCs/>
          <w:sz w:val="24"/>
          <w:szCs w:val="24"/>
        </w:rPr>
        <w:t xml:space="preserve"> and it has been very helpful. </w:t>
      </w:r>
    </w:p>
    <w:p w:rsidR="009845F4" w:rsidRPr="00EB0314" w:rsidRDefault="009845F4" w:rsidP="00EB0314">
      <w:pPr>
        <w:pStyle w:val="ListParagraph"/>
        <w:numPr>
          <w:ilvl w:val="0"/>
          <w:numId w:val="50"/>
        </w:numPr>
        <w:spacing w:line="276" w:lineRule="auto"/>
        <w:rPr>
          <w:rFonts w:ascii="Arial" w:hAnsi="Arial" w:cs="Arial"/>
          <w:bCs/>
          <w:sz w:val="24"/>
          <w:szCs w:val="24"/>
        </w:rPr>
      </w:pPr>
      <w:r w:rsidRPr="00EB0314">
        <w:rPr>
          <w:rFonts w:ascii="Arial" w:hAnsi="Arial" w:cs="Arial"/>
          <w:bCs/>
          <w:sz w:val="24"/>
          <w:szCs w:val="24"/>
        </w:rPr>
        <w:t xml:space="preserve">Connie Nelson with Office of the Governor provided that students under WAE program working hours are kept under 30 hours. </w:t>
      </w:r>
    </w:p>
    <w:p w:rsidR="009845F4" w:rsidRPr="00EB0314" w:rsidRDefault="00B51BC3" w:rsidP="00EB0314">
      <w:pPr>
        <w:pStyle w:val="ListParagraph"/>
        <w:numPr>
          <w:ilvl w:val="0"/>
          <w:numId w:val="50"/>
        </w:numPr>
        <w:spacing w:line="276" w:lineRule="auto"/>
        <w:rPr>
          <w:rFonts w:ascii="Arial" w:hAnsi="Arial" w:cs="Arial"/>
          <w:bCs/>
          <w:sz w:val="24"/>
          <w:szCs w:val="24"/>
        </w:rPr>
      </w:pPr>
      <w:r w:rsidRPr="00EB0314">
        <w:rPr>
          <w:rFonts w:ascii="Arial" w:hAnsi="Arial" w:cs="Arial"/>
          <w:bCs/>
          <w:sz w:val="24"/>
          <w:szCs w:val="24"/>
        </w:rPr>
        <w:t>N</w:t>
      </w:r>
      <w:r w:rsidR="009845F4" w:rsidRPr="00EB0314">
        <w:rPr>
          <w:rFonts w:ascii="Arial" w:hAnsi="Arial" w:cs="Arial"/>
          <w:bCs/>
          <w:sz w:val="24"/>
          <w:szCs w:val="24"/>
        </w:rPr>
        <w:t xml:space="preserve">ot much </w:t>
      </w:r>
      <w:r w:rsidRPr="00EB0314">
        <w:rPr>
          <w:rFonts w:ascii="Arial" w:hAnsi="Arial" w:cs="Arial"/>
          <w:bCs/>
          <w:sz w:val="24"/>
          <w:szCs w:val="24"/>
        </w:rPr>
        <w:t xml:space="preserve">has been done with </w:t>
      </w:r>
      <w:r w:rsidR="009845F4" w:rsidRPr="00EB0314">
        <w:rPr>
          <w:rFonts w:ascii="Arial" w:hAnsi="Arial" w:cs="Arial"/>
          <w:bCs/>
          <w:sz w:val="24"/>
          <w:szCs w:val="24"/>
        </w:rPr>
        <w:t xml:space="preserve">targeting recruitment, SAME Summit, and attending job fairs. </w:t>
      </w:r>
      <w:r w:rsidRPr="00EB0314">
        <w:rPr>
          <w:rFonts w:ascii="Arial" w:hAnsi="Arial" w:cs="Arial"/>
          <w:bCs/>
          <w:sz w:val="24"/>
          <w:szCs w:val="24"/>
        </w:rPr>
        <w:t>The</w:t>
      </w:r>
      <w:r w:rsidR="009845F4" w:rsidRPr="00EB0314">
        <w:rPr>
          <w:rFonts w:ascii="Arial" w:hAnsi="Arial" w:cs="Arial"/>
          <w:bCs/>
          <w:sz w:val="24"/>
          <w:szCs w:val="24"/>
        </w:rPr>
        <w:t xml:space="preserve"> taskforce </w:t>
      </w:r>
      <w:r w:rsidRPr="00EB0314">
        <w:rPr>
          <w:rFonts w:ascii="Arial" w:hAnsi="Arial" w:cs="Arial"/>
          <w:bCs/>
          <w:sz w:val="24"/>
          <w:szCs w:val="24"/>
        </w:rPr>
        <w:t>needs to consider</w:t>
      </w:r>
      <w:r w:rsidR="009845F4" w:rsidRPr="00EB0314">
        <w:rPr>
          <w:rFonts w:ascii="Arial" w:hAnsi="Arial" w:cs="Arial"/>
          <w:bCs/>
          <w:sz w:val="24"/>
          <w:szCs w:val="24"/>
        </w:rPr>
        <w:t xml:space="preserve"> how to address these topics. </w:t>
      </w:r>
    </w:p>
    <w:p w:rsidR="009845F4" w:rsidRPr="00EB0314" w:rsidRDefault="009845F4" w:rsidP="00EB0314">
      <w:pPr>
        <w:pStyle w:val="ListParagraph"/>
        <w:numPr>
          <w:ilvl w:val="0"/>
          <w:numId w:val="50"/>
        </w:numPr>
        <w:spacing w:line="276" w:lineRule="auto"/>
        <w:rPr>
          <w:rFonts w:ascii="Arial" w:hAnsi="Arial" w:cs="Arial"/>
          <w:bCs/>
          <w:sz w:val="24"/>
          <w:szCs w:val="24"/>
        </w:rPr>
      </w:pPr>
      <w:r w:rsidRPr="00EB0314">
        <w:rPr>
          <w:rFonts w:ascii="Arial" w:hAnsi="Arial" w:cs="Arial"/>
          <w:bCs/>
          <w:sz w:val="24"/>
          <w:szCs w:val="24"/>
        </w:rPr>
        <w:t xml:space="preserve">Lauren provided that the Disability </w:t>
      </w:r>
      <w:r w:rsidR="007A7C3E" w:rsidRPr="00EB0314">
        <w:rPr>
          <w:rFonts w:ascii="Arial" w:hAnsi="Arial" w:cs="Arial"/>
          <w:bCs/>
          <w:sz w:val="24"/>
          <w:szCs w:val="24"/>
        </w:rPr>
        <w:t xml:space="preserve">Diversity </w:t>
      </w:r>
      <w:r w:rsidRPr="00EB0314">
        <w:rPr>
          <w:rFonts w:ascii="Arial" w:hAnsi="Arial" w:cs="Arial"/>
          <w:bCs/>
          <w:sz w:val="24"/>
          <w:szCs w:val="24"/>
        </w:rPr>
        <w:t xml:space="preserve">Job Fair in Lafayette </w:t>
      </w:r>
      <w:r w:rsidR="007A7C3E" w:rsidRPr="00EB0314">
        <w:rPr>
          <w:rFonts w:ascii="Arial" w:hAnsi="Arial" w:cs="Arial"/>
          <w:bCs/>
          <w:sz w:val="24"/>
          <w:szCs w:val="24"/>
        </w:rPr>
        <w:t xml:space="preserve">could be a good model due to the fact that all participating parties must agree to hire job seekers on the spot. Additionally, the job fair offered pre-employment opportunities for job seekers, interpreting services on-site etc. </w:t>
      </w:r>
    </w:p>
    <w:bookmarkEnd w:id="0"/>
    <w:p w:rsidR="0076772D" w:rsidRPr="00B51BC3" w:rsidRDefault="0076772D" w:rsidP="00A12C59">
      <w:pPr>
        <w:rPr>
          <w:rFonts w:ascii="Arial" w:hAnsi="Arial" w:cs="Arial"/>
          <w:bCs/>
          <w:sz w:val="24"/>
          <w:szCs w:val="24"/>
        </w:rPr>
      </w:pPr>
    </w:p>
    <w:p w:rsidR="00FD7B42" w:rsidRPr="00B51BC3" w:rsidRDefault="00DF1111" w:rsidP="008817D5">
      <w:pPr>
        <w:spacing w:line="276" w:lineRule="auto"/>
        <w:rPr>
          <w:rFonts w:ascii="Arial" w:hAnsi="Arial" w:cs="Arial"/>
          <w:b/>
          <w:sz w:val="24"/>
          <w:szCs w:val="24"/>
        </w:rPr>
      </w:pPr>
      <w:r w:rsidRPr="00B51BC3">
        <w:rPr>
          <w:rFonts w:ascii="Arial" w:hAnsi="Arial" w:cs="Arial"/>
          <w:b/>
          <w:sz w:val="24"/>
          <w:szCs w:val="24"/>
        </w:rPr>
        <w:t>Adjournment</w:t>
      </w:r>
    </w:p>
    <w:p w:rsidR="006D6093" w:rsidRPr="00B51BC3" w:rsidRDefault="006D6093" w:rsidP="008817D5">
      <w:pPr>
        <w:spacing w:line="276" w:lineRule="auto"/>
        <w:rPr>
          <w:rFonts w:ascii="Arial" w:hAnsi="Arial" w:cs="Arial"/>
          <w:sz w:val="24"/>
          <w:szCs w:val="24"/>
        </w:rPr>
      </w:pPr>
    </w:p>
    <w:p w:rsidR="00DD26EA" w:rsidRPr="00B51BC3" w:rsidRDefault="006D6093" w:rsidP="006D6093">
      <w:pPr>
        <w:spacing w:line="276" w:lineRule="auto"/>
        <w:jc w:val="center"/>
        <w:rPr>
          <w:rFonts w:ascii="Arial" w:hAnsi="Arial" w:cs="Arial"/>
          <w:bCs/>
          <w:sz w:val="24"/>
          <w:szCs w:val="24"/>
        </w:rPr>
      </w:pPr>
      <w:r w:rsidRPr="00B51BC3">
        <w:rPr>
          <w:rFonts w:ascii="Arial" w:hAnsi="Arial" w:cs="Arial"/>
          <w:bCs/>
          <w:sz w:val="24"/>
          <w:szCs w:val="24"/>
        </w:rPr>
        <w:t xml:space="preserve">Disability Employment Webpage: </w:t>
      </w:r>
    </w:p>
    <w:p w:rsidR="00FD7B42" w:rsidRPr="00B51BC3" w:rsidRDefault="00A02D70" w:rsidP="006D6093">
      <w:pPr>
        <w:spacing w:line="276" w:lineRule="auto"/>
        <w:jc w:val="center"/>
        <w:rPr>
          <w:rFonts w:ascii="Arial" w:hAnsi="Arial" w:cs="Arial"/>
          <w:bCs/>
          <w:sz w:val="24"/>
          <w:szCs w:val="24"/>
        </w:rPr>
      </w:pPr>
      <w:hyperlink r:id="rId8" w:history="1">
        <w:r w:rsidR="006D6093" w:rsidRPr="00B51BC3">
          <w:rPr>
            <w:rStyle w:val="Hyperlink"/>
            <w:rFonts w:ascii="Arial" w:hAnsi="Arial" w:cs="Arial"/>
            <w:bCs/>
            <w:sz w:val="24"/>
            <w:szCs w:val="24"/>
          </w:rPr>
          <w:t>https://gov.louisiana.gov/page/disability-employment-initiative</w:t>
        </w:r>
      </w:hyperlink>
      <w:r w:rsidR="006D6093" w:rsidRPr="00B51BC3">
        <w:rPr>
          <w:rFonts w:ascii="Arial" w:hAnsi="Arial" w:cs="Arial"/>
          <w:bCs/>
          <w:sz w:val="24"/>
          <w:szCs w:val="24"/>
        </w:rPr>
        <w:t xml:space="preserve"> </w:t>
      </w:r>
    </w:p>
    <w:sectPr w:rsidR="00FD7B42" w:rsidRPr="00B51BC3" w:rsidSect="00B363BD">
      <w:type w:val="continuous"/>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70" w:rsidRDefault="00A02D70" w:rsidP="003B503E">
      <w:r>
        <w:separator/>
      </w:r>
    </w:p>
  </w:endnote>
  <w:endnote w:type="continuationSeparator" w:id="0">
    <w:p w:rsidR="00A02D70" w:rsidRDefault="00A02D70" w:rsidP="003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70" w:rsidRDefault="00A02D70" w:rsidP="003B503E">
      <w:r>
        <w:separator/>
      </w:r>
    </w:p>
  </w:footnote>
  <w:footnote w:type="continuationSeparator" w:id="0">
    <w:p w:rsidR="00A02D70" w:rsidRDefault="00A02D70" w:rsidP="003B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02"/>
    <w:multiLevelType w:val="hybridMultilevel"/>
    <w:tmpl w:val="FD24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6C2B15"/>
    <w:multiLevelType w:val="hybridMultilevel"/>
    <w:tmpl w:val="FEF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84B"/>
    <w:multiLevelType w:val="hybridMultilevel"/>
    <w:tmpl w:val="166EC2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349EF"/>
    <w:multiLevelType w:val="hybridMultilevel"/>
    <w:tmpl w:val="96C46C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FB3EFF"/>
    <w:multiLevelType w:val="hybridMultilevel"/>
    <w:tmpl w:val="0F42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32549"/>
    <w:multiLevelType w:val="hybridMultilevel"/>
    <w:tmpl w:val="48846F76"/>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6" w15:restartNumberingAfterBreak="0">
    <w:nsid w:val="0E0D373C"/>
    <w:multiLevelType w:val="hybridMultilevel"/>
    <w:tmpl w:val="612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1C6"/>
    <w:multiLevelType w:val="hybridMultilevel"/>
    <w:tmpl w:val="2CD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332C3"/>
    <w:multiLevelType w:val="hybridMultilevel"/>
    <w:tmpl w:val="DE3065C0"/>
    <w:lvl w:ilvl="0" w:tplc="9B465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151A03"/>
    <w:multiLevelType w:val="hybridMultilevel"/>
    <w:tmpl w:val="3DB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45DF0"/>
    <w:multiLevelType w:val="hybridMultilevel"/>
    <w:tmpl w:val="77BCEB72"/>
    <w:lvl w:ilvl="0" w:tplc="04090011">
      <w:start w:val="1"/>
      <w:numFmt w:val="decimal"/>
      <w:lvlText w:val="%1)"/>
      <w:lvlJc w:val="left"/>
      <w:pPr>
        <w:ind w:left="720" w:hanging="360"/>
      </w:pPr>
      <w:rPr>
        <w:rFonts w:hint="default"/>
        <w:b w:val="0"/>
        <w:u w:val="none"/>
      </w:rPr>
    </w:lvl>
    <w:lvl w:ilvl="1" w:tplc="0409001B">
      <w:start w:val="1"/>
      <w:numFmt w:val="lowerRoman"/>
      <w:lvlText w:val="%2."/>
      <w:lvlJc w:val="right"/>
      <w:pPr>
        <w:ind w:left="1440" w:hanging="360"/>
      </w:pPr>
    </w:lvl>
    <w:lvl w:ilvl="2" w:tplc="EB547F20">
      <w:start w:val="1"/>
      <w:numFmt w:val="bullet"/>
      <w:lvlText w:val=""/>
      <w:lvlJc w:val="left"/>
      <w:pPr>
        <w:ind w:left="2160" w:hanging="180"/>
      </w:pPr>
      <w:rPr>
        <w:rFonts w:ascii="Wingdings" w:hAnsi="Wingdings" w:hint="default"/>
        <w:color w:val="auto"/>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33450"/>
    <w:multiLevelType w:val="hybridMultilevel"/>
    <w:tmpl w:val="78443CD6"/>
    <w:lvl w:ilvl="0" w:tplc="42E009C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C4F68"/>
    <w:multiLevelType w:val="hybridMultilevel"/>
    <w:tmpl w:val="2D380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13991"/>
    <w:multiLevelType w:val="hybridMultilevel"/>
    <w:tmpl w:val="490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11534"/>
    <w:multiLevelType w:val="hybridMultilevel"/>
    <w:tmpl w:val="3D5A3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732510"/>
    <w:multiLevelType w:val="hybridMultilevel"/>
    <w:tmpl w:val="6C6C0D28"/>
    <w:lvl w:ilvl="0" w:tplc="B878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9D299B"/>
    <w:multiLevelType w:val="hybridMultilevel"/>
    <w:tmpl w:val="57A0EE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8381793"/>
    <w:multiLevelType w:val="hybridMultilevel"/>
    <w:tmpl w:val="8E5AB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CA4C99"/>
    <w:multiLevelType w:val="hybridMultilevel"/>
    <w:tmpl w:val="7D36E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C101E8"/>
    <w:multiLevelType w:val="hybridMultilevel"/>
    <w:tmpl w:val="8D1A8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1517C"/>
    <w:multiLevelType w:val="hybridMultilevel"/>
    <w:tmpl w:val="D7F6A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815C1C"/>
    <w:multiLevelType w:val="hybridMultilevel"/>
    <w:tmpl w:val="DA464BA4"/>
    <w:lvl w:ilvl="0" w:tplc="A6A0F2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067CE7"/>
    <w:multiLevelType w:val="hybridMultilevel"/>
    <w:tmpl w:val="D85E4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3A4972"/>
    <w:multiLevelType w:val="hybridMultilevel"/>
    <w:tmpl w:val="C3DA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44CBE"/>
    <w:multiLevelType w:val="hybridMultilevel"/>
    <w:tmpl w:val="0C0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041E8"/>
    <w:multiLevelType w:val="hybridMultilevel"/>
    <w:tmpl w:val="CF160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661D09"/>
    <w:multiLevelType w:val="hybridMultilevel"/>
    <w:tmpl w:val="24D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50F89"/>
    <w:multiLevelType w:val="hybridMultilevel"/>
    <w:tmpl w:val="4A4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E6BAE"/>
    <w:multiLevelType w:val="hybridMultilevel"/>
    <w:tmpl w:val="7E3C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F7FF6"/>
    <w:multiLevelType w:val="multilevel"/>
    <w:tmpl w:val="A94E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001BE"/>
    <w:multiLevelType w:val="hybridMultilevel"/>
    <w:tmpl w:val="745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F04ED"/>
    <w:multiLevelType w:val="hybridMultilevel"/>
    <w:tmpl w:val="FA3C99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F0985"/>
    <w:multiLevelType w:val="hybridMultilevel"/>
    <w:tmpl w:val="EC20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A3850"/>
    <w:multiLevelType w:val="hybridMultilevel"/>
    <w:tmpl w:val="EEEA207A"/>
    <w:lvl w:ilvl="0" w:tplc="FCC0E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87A58"/>
    <w:multiLevelType w:val="hybridMultilevel"/>
    <w:tmpl w:val="37F66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076E59"/>
    <w:multiLevelType w:val="hybridMultilevel"/>
    <w:tmpl w:val="57E0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30F49"/>
    <w:multiLevelType w:val="multilevel"/>
    <w:tmpl w:val="346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81B09"/>
    <w:multiLevelType w:val="hybridMultilevel"/>
    <w:tmpl w:val="D6F64928"/>
    <w:lvl w:ilvl="0" w:tplc="9F8C32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447D9"/>
    <w:multiLevelType w:val="hybridMultilevel"/>
    <w:tmpl w:val="0374BCA2"/>
    <w:lvl w:ilvl="0" w:tplc="C338D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553788"/>
    <w:multiLevelType w:val="hybridMultilevel"/>
    <w:tmpl w:val="E148091A"/>
    <w:lvl w:ilvl="0" w:tplc="4D983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6D264A"/>
    <w:multiLevelType w:val="hybridMultilevel"/>
    <w:tmpl w:val="B88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1292E"/>
    <w:multiLevelType w:val="hybridMultilevel"/>
    <w:tmpl w:val="FDC2B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F010D6"/>
    <w:multiLevelType w:val="hybridMultilevel"/>
    <w:tmpl w:val="4216A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91FBB"/>
    <w:multiLevelType w:val="hybridMultilevel"/>
    <w:tmpl w:val="14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C04DA"/>
    <w:multiLevelType w:val="hybridMultilevel"/>
    <w:tmpl w:val="A3F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B3575"/>
    <w:multiLevelType w:val="hybridMultilevel"/>
    <w:tmpl w:val="213ED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86A5F2E"/>
    <w:multiLevelType w:val="multilevel"/>
    <w:tmpl w:val="6D10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D655E7"/>
    <w:multiLevelType w:val="hybridMultilevel"/>
    <w:tmpl w:val="50D673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22C15"/>
    <w:multiLevelType w:val="hybridMultilevel"/>
    <w:tmpl w:val="BE264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763966"/>
    <w:multiLevelType w:val="hybridMultilevel"/>
    <w:tmpl w:val="12DAA07E"/>
    <w:lvl w:ilvl="0" w:tplc="D8C0D50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35"/>
  </w:num>
  <w:num w:numId="4">
    <w:abstractNumId w:val="1"/>
  </w:num>
  <w:num w:numId="5">
    <w:abstractNumId w:val="27"/>
  </w:num>
  <w:num w:numId="6">
    <w:abstractNumId w:val="26"/>
  </w:num>
  <w:num w:numId="7">
    <w:abstractNumId w:val="13"/>
  </w:num>
  <w:num w:numId="8">
    <w:abstractNumId w:val="24"/>
  </w:num>
  <w:num w:numId="9">
    <w:abstractNumId w:val="43"/>
  </w:num>
  <w:num w:numId="10">
    <w:abstractNumId w:val="6"/>
  </w:num>
  <w:num w:numId="11">
    <w:abstractNumId w:val="44"/>
  </w:num>
  <w:num w:numId="12">
    <w:abstractNumId w:val="10"/>
  </w:num>
  <w:num w:numId="13">
    <w:abstractNumId w:val="19"/>
  </w:num>
  <w:num w:numId="14">
    <w:abstractNumId w:val="4"/>
  </w:num>
  <w:num w:numId="15">
    <w:abstractNumId w:val="48"/>
  </w:num>
  <w:num w:numId="16">
    <w:abstractNumId w:val="0"/>
  </w:num>
  <w:num w:numId="17">
    <w:abstractNumId w:val="33"/>
  </w:num>
  <w:num w:numId="18">
    <w:abstractNumId w:val="14"/>
  </w:num>
  <w:num w:numId="19">
    <w:abstractNumId w:val="30"/>
  </w:num>
  <w:num w:numId="20">
    <w:abstractNumId w:val="37"/>
  </w:num>
  <w:num w:numId="21">
    <w:abstractNumId w:val="20"/>
  </w:num>
  <w:num w:numId="22">
    <w:abstractNumId w:val="41"/>
  </w:num>
  <w:num w:numId="23">
    <w:abstractNumId w:val="8"/>
  </w:num>
  <w:num w:numId="24">
    <w:abstractNumId w:val="49"/>
  </w:num>
  <w:num w:numId="25">
    <w:abstractNumId w:val="21"/>
  </w:num>
  <w:num w:numId="26">
    <w:abstractNumId w:val="11"/>
  </w:num>
  <w:num w:numId="27">
    <w:abstractNumId w:val="38"/>
  </w:num>
  <w:num w:numId="28">
    <w:abstractNumId w:val="5"/>
  </w:num>
  <w:num w:numId="29">
    <w:abstractNumId w:val="16"/>
  </w:num>
  <w:num w:numId="30">
    <w:abstractNumId w:val="15"/>
  </w:num>
  <w:num w:numId="31">
    <w:abstractNumId w:val="42"/>
  </w:num>
  <w:num w:numId="32">
    <w:abstractNumId w:val="12"/>
  </w:num>
  <w:num w:numId="33">
    <w:abstractNumId w:val="18"/>
  </w:num>
  <w:num w:numId="34">
    <w:abstractNumId w:val="22"/>
  </w:num>
  <w:num w:numId="35">
    <w:abstractNumId w:val="3"/>
  </w:num>
  <w:num w:numId="36">
    <w:abstractNumId w:val="17"/>
  </w:num>
  <w:num w:numId="37">
    <w:abstractNumId w:val="34"/>
  </w:num>
  <w:num w:numId="38">
    <w:abstractNumId w:val="45"/>
  </w:num>
  <w:num w:numId="39">
    <w:abstractNumId w:val="40"/>
  </w:num>
  <w:num w:numId="40">
    <w:abstractNumId w:val="47"/>
  </w:num>
  <w:num w:numId="41">
    <w:abstractNumId w:val="2"/>
  </w:num>
  <w:num w:numId="42">
    <w:abstractNumId w:val="31"/>
  </w:num>
  <w:num w:numId="43">
    <w:abstractNumId w:val="28"/>
  </w:num>
  <w:num w:numId="44">
    <w:abstractNumId w:val="25"/>
  </w:num>
  <w:num w:numId="45">
    <w:abstractNumId w:val="32"/>
  </w:num>
  <w:num w:numId="46">
    <w:abstractNumId w:val="39"/>
  </w:num>
  <w:num w:numId="47">
    <w:abstractNumId w:val="46"/>
  </w:num>
  <w:num w:numId="48">
    <w:abstractNumId w:val="29"/>
  </w:num>
  <w:num w:numId="49">
    <w:abstractNumId w:val="3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33"/>
    <w:rsid w:val="0001035E"/>
    <w:rsid w:val="00040F16"/>
    <w:rsid w:val="00052578"/>
    <w:rsid w:val="0005617F"/>
    <w:rsid w:val="000648B6"/>
    <w:rsid w:val="00082D22"/>
    <w:rsid w:val="0008556F"/>
    <w:rsid w:val="00097925"/>
    <w:rsid w:val="000C4131"/>
    <w:rsid w:val="000C57FB"/>
    <w:rsid w:val="000D5E32"/>
    <w:rsid w:val="000E4271"/>
    <w:rsid w:val="000F3B40"/>
    <w:rsid w:val="00116599"/>
    <w:rsid w:val="00120A94"/>
    <w:rsid w:val="00133F4B"/>
    <w:rsid w:val="00137287"/>
    <w:rsid w:val="00143DAD"/>
    <w:rsid w:val="00153135"/>
    <w:rsid w:val="001672D3"/>
    <w:rsid w:val="001929E0"/>
    <w:rsid w:val="001A6A10"/>
    <w:rsid w:val="001C7999"/>
    <w:rsid w:val="00204BCA"/>
    <w:rsid w:val="00213EB3"/>
    <w:rsid w:val="00224CB6"/>
    <w:rsid w:val="00232BEE"/>
    <w:rsid w:val="00235E8F"/>
    <w:rsid w:val="00260233"/>
    <w:rsid w:val="00263D8C"/>
    <w:rsid w:val="00280040"/>
    <w:rsid w:val="002A69D9"/>
    <w:rsid w:val="002A72E3"/>
    <w:rsid w:val="002B5CDD"/>
    <w:rsid w:val="002C4195"/>
    <w:rsid w:val="002E60BC"/>
    <w:rsid w:val="002F3363"/>
    <w:rsid w:val="00353CCA"/>
    <w:rsid w:val="003868F7"/>
    <w:rsid w:val="003B3E67"/>
    <w:rsid w:val="003B503E"/>
    <w:rsid w:val="003C6A05"/>
    <w:rsid w:val="003D01D4"/>
    <w:rsid w:val="003E6678"/>
    <w:rsid w:val="003F6534"/>
    <w:rsid w:val="003F77B7"/>
    <w:rsid w:val="00401175"/>
    <w:rsid w:val="00422B3B"/>
    <w:rsid w:val="00427C55"/>
    <w:rsid w:val="00436C87"/>
    <w:rsid w:val="004401CF"/>
    <w:rsid w:val="004433E6"/>
    <w:rsid w:val="004509EB"/>
    <w:rsid w:val="0045186F"/>
    <w:rsid w:val="0045310C"/>
    <w:rsid w:val="00453ADD"/>
    <w:rsid w:val="00453BDF"/>
    <w:rsid w:val="00467F70"/>
    <w:rsid w:val="00470457"/>
    <w:rsid w:val="00473C73"/>
    <w:rsid w:val="00481494"/>
    <w:rsid w:val="00482788"/>
    <w:rsid w:val="0049271E"/>
    <w:rsid w:val="004B58C5"/>
    <w:rsid w:val="004C183B"/>
    <w:rsid w:val="004C38BA"/>
    <w:rsid w:val="004E56E9"/>
    <w:rsid w:val="004F10A5"/>
    <w:rsid w:val="004F41AB"/>
    <w:rsid w:val="004F49EE"/>
    <w:rsid w:val="0054293B"/>
    <w:rsid w:val="00560DF3"/>
    <w:rsid w:val="00571A88"/>
    <w:rsid w:val="00573AD1"/>
    <w:rsid w:val="00573DBA"/>
    <w:rsid w:val="005753B7"/>
    <w:rsid w:val="00587DE0"/>
    <w:rsid w:val="00597F64"/>
    <w:rsid w:val="005A1A3F"/>
    <w:rsid w:val="005A5732"/>
    <w:rsid w:val="005A7D39"/>
    <w:rsid w:val="005B2E32"/>
    <w:rsid w:val="005B3A28"/>
    <w:rsid w:val="005C13E5"/>
    <w:rsid w:val="005C265D"/>
    <w:rsid w:val="005E12CF"/>
    <w:rsid w:val="005E4F62"/>
    <w:rsid w:val="00620BC8"/>
    <w:rsid w:val="0064222C"/>
    <w:rsid w:val="006436BA"/>
    <w:rsid w:val="006444B2"/>
    <w:rsid w:val="00657557"/>
    <w:rsid w:val="00663A41"/>
    <w:rsid w:val="006705DF"/>
    <w:rsid w:val="00680960"/>
    <w:rsid w:val="006D3643"/>
    <w:rsid w:val="006D6093"/>
    <w:rsid w:val="006E65FC"/>
    <w:rsid w:val="00722E42"/>
    <w:rsid w:val="007301A4"/>
    <w:rsid w:val="0074295C"/>
    <w:rsid w:val="0075175A"/>
    <w:rsid w:val="0076772D"/>
    <w:rsid w:val="00770B68"/>
    <w:rsid w:val="00771B86"/>
    <w:rsid w:val="00774E7F"/>
    <w:rsid w:val="007764D3"/>
    <w:rsid w:val="00777E37"/>
    <w:rsid w:val="00782C0E"/>
    <w:rsid w:val="00784E78"/>
    <w:rsid w:val="007A12DA"/>
    <w:rsid w:val="007A5C90"/>
    <w:rsid w:val="007A7445"/>
    <w:rsid w:val="007A7C3E"/>
    <w:rsid w:val="007B1815"/>
    <w:rsid w:val="007B2624"/>
    <w:rsid w:val="007B618F"/>
    <w:rsid w:val="007C5573"/>
    <w:rsid w:val="007F6875"/>
    <w:rsid w:val="007F7678"/>
    <w:rsid w:val="0080611D"/>
    <w:rsid w:val="00813F71"/>
    <w:rsid w:val="008807CF"/>
    <w:rsid w:val="0088177B"/>
    <w:rsid w:val="008817D5"/>
    <w:rsid w:val="00883C1C"/>
    <w:rsid w:val="00886E2C"/>
    <w:rsid w:val="008931B4"/>
    <w:rsid w:val="008B45FB"/>
    <w:rsid w:val="008C2176"/>
    <w:rsid w:val="008C25F5"/>
    <w:rsid w:val="008F7061"/>
    <w:rsid w:val="009111E8"/>
    <w:rsid w:val="00913BBF"/>
    <w:rsid w:val="009168D7"/>
    <w:rsid w:val="009438F7"/>
    <w:rsid w:val="00944253"/>
    <w:rsid w:val="00950F91"/>
    <w:rsid w:val="009641E9"/>
    <w:rsid w:val="00967B91"/>
    <w:rsid w:val="009845F4"/>
    <w:rsid w:val="00987103"/>
    <w:rsid w:val="009C3988"/>
    <w:rsid w:val="00A02D70"/>
    <w:rsid w:val="00A075ED"/>
    <w:rsid w:val="00A11EA1"/>
    <w:rsid w:val="00A12C59"/>
    <w:rsid w:val="00A42EB4"/>
    <w:rsid w:val="00A47E96"/>
    <w:rsid w:val="00A63DAD"/>
    <w:rsid w:val="00A66121"/>
    <w:rsid w:val="00A76BA9"/>
    <w:rsid w:val="00A85FEA"/>
    <w:rsid w:val="00A947A6"/>
    <w:rsid w:val="00AA332A"/>
    <w:rsid w:val="00AB4042"/>
    <w:rsid w:val="00AD3A86"/>
    <w:rsid w:val="00AD59D2"/>
    <w:rsid w:val="00AD65D0"/>
    <w:rsid w:val="00B107CA"/>
    <w:rsid w:val="00B144EE"/>
    <w:rsid w:val="00B14807"/>
    <w:rsid w:val="00B23EEF"/>
    <w:rsid w:val="00B2600B"/>
    <w:rsid w:val="00B363BD"/>
    <w:rsid w:val="00B36786"/>
    <w:rsid w:val="00B422E9"/>
    <w:rsid w:val="00B51BC3"/>
    <w:rsid w:val="00B5363A"/>
    <w:rsid w:val="00B65E26"/>
    <w:rsid w:val="00B91818"/>
    <w:rsid w:val="00B924CA"/>
    <w:rsid w:val="00B94D3C"/>
    <w:rsid w:val="00BC0C58"/>
    <w:rsid w:val="00BC684B"/>
    <w:rsid w:val="00BD28A1"/>
    <w:rsid w:val="00BE709E"/>
    <w:rsid w:val="00BF0C29"/>
    <w:rsid w:val="00BF701E"/>
    <w:rsid w:val="00C03062"/>
    <w:rsid w:val="00C07F82"/>
    <w:rsid w:val="00C30822"/>
    <w:rsid w:val="00C3209D"/>
    <w:rsid w:val="00C377E8"/>
    <w:rsid w:val="00C440EF"/>
    <w:rsid w:val="00C73DD1"/>
    <w:rsid w:val="00C77A5F"/>
    <w:rsid w:val="00C82B41"/>
    <w:rsid w:val="00CA1D77"/>
    <w:rsid w:val="00CA34E2"/>
    <w:rsid w:val="00CA6EE2"/>
    <w:rsid w:val="00CE24B6"/>
    <w:rsid w:val="00D17D4D"/>
    <w:rsid w:val="00D21BC5"/>
    <w:rsid w:val="00D32018"/>
    <w:rsid w:val="00D96325"/>
    <w:rsid w:val="00DD26EA"/>
    <w:rsid w:val="00DD389E"/>
    <w:rsid w:val="00DD5933"/>
    <w:rsid w:val="00DD72F6"/>
    <w:rsid w:val="00DF1111"/>
    <w:rsid w:val="00DF4A40"/>
    <w:rsid w:val="00E40462"/>
    <w:rsid w:val="00E47EF4"/>
    <w:rsid w:val="00E92BFD"/>
    <w:rsid w:val="00E9570D"/>
    <w:rsid w:val="00EA08A2"/>
    <w:rsid w:val="00EB0314"/>
    <w:rsid w:val="00EB12FD"/>
    <w:rsid w:val="00EC708F"/>
    <w:rsid w:val="00EE3F4D"/>
    <w:rsid w:val="00F00500"/>
    <w:rsid w:val="00F0252F"/>
    <w:rsid w:val="00F02806"/>
    <w:rsid w:val="00F0759C"/>
    <w:rsid w:val="00F100CC"/>
    <w:rsid w:val="00F22918"/>
    <w:rsid w:val="00F24D98"/>
    <w:rsid w:val="00F46D3D"/>
    <w:rsid w:val="00F816F9"/>
    <w:rsid w:val="00FB43A4"/>
    <w:rsid w:val="00FC1D80"/>
    <w:rsid w:val="00FD1511"/>
    <w:rsid w:val="00FD5E5F"/>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5F0CB-2764-420F-B778-29B6742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FC"/>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33"/>
    <w:pPr>
      <w:ind w:left="720"/>
      <w:contextualSpacing/>
    </w:pPr>
  </w:style>
  <w:style w:type="paragraph" w:styleId="BalloonText">
    <w:name w:val="Balloon Text"/>
    <w:basedOn w:val="Normal"/>
    <w:link w:val="BalloonTextChar"/>
    <w:uiPriority w:val="99"/>
    <w:semiHidden/>
    <w:unhideWhenUsed/>
    <w:rsid w:val="00D32018"/>
    <w:rPr>
      <w:rFonts w:ascii="Tahoma" w:hAnsi="Tahoma" w:cs="Tahoma"/>
      <w:sz w:val="16"/>
      <w:szCs w:val="16"/>
    </w:rPr>
  </w:style>
  <w:style w:type="character" w:customStyle="1" w:styleId="BalloonTextChar">
    <w:name w:val="Balloon Text Char"/>
    <w:link w:val="BalloonText"/>
    <w:uiPriority w:val="99"/>
    <w:semiHidden/>
    <w:rsid w:val="00D3201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3B503E"/>
    <w:pPr>
      <w:tabs>
        <w:tab w:val="center" w:pos="4680"/>
        <w:tab w:val="right" w:pos="9360"/>
      </w:tabs>
    </w:pPr>
  </w:style>
  <w:style w:type="character" w:customStyle="1" w:styleId="HeaderChar">
    <w:name w:val="Header Char"/>
    <w:link w:val="Header"/>
    <w:uiPriority w:val="99"/>
    <w:rsid w:val="003B503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B503E"/>
    <w:pPr>
      <w:tabs>
        <w:tab w:val="center" w:pos="4680"/>
        <w:tab w:val="right" w:pos="9360"/>
      </w:tabs>
    </w:pPr>
  </w:style>
  <w:style w:type="character" w:customStyle="1" w:styleId="FooterChar">
    <w:name w:val="Footer Char"/>
    <w:link w:val="Footer"/>
    <w:uiPriority w:val="99"/>
    <w:rsid w:val="003B503E"/>
    <w:rPr>
      <w:rFonts w:ascii="Times New Roman" w:eastAsia="Times New Roman" w:hAnsi="Times New Roman" w:cs="Times New Roman"/>
      <w:color w:val="000000"/>
      <w:kern w:val="28"/>
      <w:sz w:val="20"/>
      <w:szCs w:val="20"/>
    </w:rPr>
  </w:style>
  <w:style w:type="character" w:styleId="Hyperlink">
    <w:name w:val="Hyperlink"/>
    <w:uiPriority w:val="99"/>
    <w:unhideWhenUsed/>
    <w:rsid w:val="00A76BA9"/>
    <w:rPr>
      <w:color w:val="0000FF"/>
      <w:u w:val="single"/>
    </w:rPr>
  </w:style>
  <w:style w:type="paragraph" w:styleId="NoSpacing">
    <w:name w:val="No Spacing"/>
    <w:uiPriority w:val="1"/>
    <w:qFormat/>
    <w:rsid w:val="009C3988"/>
    <w:rPr>
      <w:sz w:val="22"/>
      <w:szCs w:val="22"/>
    </w:rPr>
  </w:style>
  <w:style w:type="character" w:styleId="FollowedHyperlink">
    <w:name w:val="FollowedHyperlink"/>
    <w:uiPriority w:val="99"/>
    <w:semiHidden/>
    <w:unhideWhenUsed/>
    <w:rsid w:val="00B14807"/>
    <w:rPr>
      <w:color w:val="954F72"/>
      <w:u w:val="single"/>
    </w:rPr>
  </w:style>
  <w:style w:type="paragraph" w:styleId="PlainText">
    <w:name w:val="Plain Text"/>
    <w:basedOn w:val="Normal"/>
    <w:link w:val="PlainTextChar"/>
    <w:uiPriority w:val="99"/>
    <w:unhideWhenUsed/>
    <w:rsid w:val="008F7061"/>
    <w:pPr>
      <w:widowControl/>
      <w:overflowPunct/>
      <w:autoSpaceDE/>
      <w:autoSpaceDN/>
      <w:adjustRightInd/>
    </w:pPr>
    <w:rPr>
      <w:rFonts w:ascii="Calibri" w:eastAsia="Calibri" w:hAnsi="Calibri"/>
      <w:color w:val="auto"/>
      <w:kern w:val="0"/>
      <w:sz w:val="22"/>
      <w:szCs w:val="21"/>
    </w:rPr>
  </w:style>
  <w:style w:type="character" w:customStyle="1" w:styleId="PlainTextChar">
    <w:name w:val="Plain Text Char"/>
    <w:link w:val="PlainText"/>
    <w:uiPriority w:val="99"/>
    <w:rsid w:val="008F706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231568">
      <w:bodyDiv w:val="1"/>
      <w:marLeft w:val="0"/>
      <w:marRight w:val="0"/>
      <w:marTop w:val="1920"/>
      <w:marBottom w:val="0"/>
      <w:divBdr>
        <w:top w:val="none" w:sz="0" w:space="0" w:color="auto"/>
        <w:left w:val="none" w:sz="0" w:space="0" w:color="auto"/>
        <w:bottom w:val="none" w:sz="0" w:space="0" w:color="auto"/>
        <w:right w:val="none" w:sz="0" w:space="0" w:color="auto"/>
      </w:divBdr>
      <w:divsChild>
        <w:div w:id="240333705">
          <w:marLeft w:val="0"/>
          <w:marRight w:val="0"/>
          <w:marTop w:val="0"/>
          <w:marBottom w:val="0"/>
          <w:divBdr>
            <w:top w:val="none" w:sz="0" w:space="0" w:color="auto"/>
            <w:left w:val="none" w:sz="0" w:space="0" w:color="auto"/>
            <w:bottom w:val="none" w:sz="0" w:space="0" w:color="auto"/>
            <w:right w:val="none" w:sz="0" w:space="0" w:color="auto"/>
          </w:divBdr>
          <w:divsChild>
            <w:div w:id="209542077">
              <w:marLeft w:val="0"/>
              <w:marRight w:val="0"/>
              <w:marTop w:val="0"/>
              <w:marBottom w:val="0"/>
              <w:divBdr>
                <w:top w:val="none" w:sz="0" w:space="0" w:color="auto"/>
                <w:left w:val="none" w:sz="0" w:space="0" w:color="auto"/>
                <w:bottom w:val="none" w:sz="0" w:space="0" w:color="auto"/>
                <w:right w:val="none" w:sz="0" w:space="0" w:color="auto"/>
              </w:divBdr>
              <w:divsChild>
                <w:div w:id="369766781">
                  <w:marLeft w:val="0"/>
                  <w:marRight w:val="0"/>
                  <w:marTop w:val="0"/>
                  <w:marBottom w:val="0"/>
                  <w:divBdr>
                    <w:top w:val="none" w:sz="0" w:space="0" w:color="auto"/>
                    <w:left w:val="none" w:sz="0" w:space="0" w:color="auto"/>
                    <w:bottom w:val="none" w:sz="0" w:space="0" w:color="auto"/>
                    <w:right w:val="none" w:sz="0" w:space="0" w:color="auto"/>
                  </w:divBdr>
                  <w:divsChild>
                    <w:div w:id="1546287393">
                      <w:marLeft w:val="0"/>
                      <w:marRight w:val="0"/>
                      <w:marTop w:val="0"/>
                      <w:marBottom w:val="0"/>
                      <w:divBdr>
                        <w:top w:val="none" w:sz="0" w:space="0" w:color="auto"/>
                        <w:left w:val="none" w:sz="0" w:space="0" w:color="auto"/>
                        <w:bottom w:val="none" w:sz="0" w:space="0" w:color="auto"/>
                        <w:right w:val="none" w:sz="0" w:space="0" w:color="auto"/>
                      </w:divBdr>
                      <w:divsChild>
                        <w:div w:id="131289656">
                          <w:marLeft w:val="0"/>
                          <w:marRight w:val="0"/>
                          <w:marTop w:val="0"/>
                          <w:marBottom w:val="0"/>
                          <w:divBdr>
                            <w:top w:val="none" w:sz="0" w:space="0" w:color="auto"/>
                            <w:left w:val="none" w:sz="0" w:space="0" w:color="auto"/>
                            <w:bottom w:val="none" w:sz="0" w:space="0" w:color="auto"/>
                            <w:right w:val="none" w:sz="0" w:space="0" w:color="auto"/>
                          </w:divBdr>
                          <w:divsChild>
                            <w:div w:id="536089645">
                              <w:marLeft w:val="0"/>
                              <w:marRight w:val="0"/>
                              <w:marTop w:val="120"/>
                              <w:marBottom w:val="1500"/>
                              <w:divBdr>
                                <w:top w:val="none" w:sz="0" w:space="0" w:color="auto"/>
                                <w:left w:val="none" w:sz="0" w:space="0" w:color="auto"/>
                                <w:bottom w:val="none" w:sz="0" w:space="0" w:color="auto"/>
                                <w:right w:val="none" w:sz="0" w:space="0" w:color="auto"/>
                              </w:divBdr>
                              <w:divsChild>
                                <w:div w:id="2032533715">
                                  <w:marLeft w:val="0"/>
                                  <w:marRight w:val="0"/>
                                  <w:marTop w:val="0"/>
                                  <w:marBottom w:val="360"/>
                                  <w:divBdr>
                                    <w:top w:val="none" w:sz="0" w:space="0" w:color="auto"/>
                                    <w:left w:val="none" w:sz="0" w:space="0" w:color="auto"/>
                                    <w:bottom w:val="none" w:sz="0" w:space="0" w:color="auto"/>
                                    <w:right w:val="none" w:sz="0" w:space="0" w:color="auto"/>
                                  </w:divBdr>
                                  <w:divsChild>
                                    <w:div w:id="1294555705">
                                      <w:marLeft w:val="0"/>
                                      <w:marRight w:val="0"/>
                                      <w:marTop w:val="0"/>
                                      <w:marBottom w:val="0"/>
                                      <w:divBdr>
                                        <w:top w:val="none" w:sz="0" w:space="0" w:color="auto"/>
                                        <w:left w:val="none" w:sz="0" w:space="0" w:color="auto"/>
                                        <w:bottom w:val="none" w:sz="0" w:space="0" w:color="auto"/>
                                        <w:right w:val="none" w:sz="0" w:space="0" w:color="auto"/>
                                      </w:divBdr>
                                      <w:divsChild>
                                        <w:div w:id="31270686">
                                          <w:marLeft w:val="0"/>
                                          <w:marRight w:val="0"/>
                                          <w:marTop w:val="0"/>
                                          <w:marBottom w:val="0"/>
                                          <w:divBdr>
                                            <w:top w:val="none" w:sz="0" w:space="0" w:color="auto"/>
                                            <w:left w:val="none" w:sz="0" w:space="0" w:color="auto"/>
                                            <w:bottom w:val="none" w:sz="0" w:space="0" w:color="auto"/>
                                            <w:right w:val="none" w:sz="0" w:space="0" w:color="auto"/>
                                          </w:divBdr>
                                        </w:div>
                                      </w:divsChild>
                                    </w:div>
                                    <w:div w:id="1763337946">
                                      <w:marLeft w:val="0"/>
                                      <w:marRight w:val="0"/>
                                      <w:marTop w:val="0"/>
                                      <w:marBottom w:val="0"/>
                                      <w:divBdr>
                                        <w:top w:val="none" w:sz="0" w:space="0" w:color="auto"/>
                                        <w:left w:val="none" w:sz="0" w:space="0" w:color="auto"/>
                                        <w:bottom w:val="none" w:sz="0" w:space="0" w:color="auto"/>
                                        <w:right w:val="none" w:sz="0" w:space="0" w:color="auto"/>
                                      </w:divBdr>
                                      <w:divsChild>
                                        <w:div w:id="1659337618">
                                          <w:marLeft w:val="0"/>
                                          <w:marRight w:val="0"/>
                                          <w:marTop w:val="0"/>
                                          <w:marBottom w:val="0"/>
                                          <w:divBdr>
                                            <w:top w:val="none" w:sz="0" w:space="0" w:color="auto"/>
                                            <w:left w:val="none" w:sz="0" w:space="0" w:color="auto"/>
                                            <w:bottom w:val="none" w:sz="0" w:space="0" w:color="auto"/>
                                            <w:right w:val="none" w:sz="0" w:space="0" w:color="auto"/>
                                          </w:divBdr>
                                          <w:divsChild>
                                            <w:div w:id="1657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922">
                                      <w:marLeft w:val="0"/>
                                      <w:marRight w:val="0"/>
                                      <w:marTop w:val="0"/>
                                      <w:marBottom w:val="0"/>
                                      <w:divBdr>
                                        <w:top w:val="none" w:sz="0" w:space="0" w:color="auto"/>
                                        <w:left w:val="none" w:sz="0" w:space="0" w:color="auto"/>
                                        <w:bottom w:val="none" w:sz="0" w:space="0" w:color="auto"/>
                                        <w:right w:val="none" w:sz="0" w:space="0" w:color="auto"/>
                                      </w:divBdr>
                                    </w:div>
                                    <w:div w:id="1575630357">
                                      <w:marLeft w:val="0"/>
                                      <w:marRight w:val="0"/>
                                      <w:marTop w:val="0"/>
                                      <w:marBottom w:val="0"/>
                                      <w:divBdr>
                                        <w:top w:val="none" w:sz="0" w:space="0" w:color="auto"/>
                                        <w:left w:val="none" w:sz="0" w:space="0" w:color="auto"/>
                                        <w:bottom w:val="none" w:sz="0" w:space="0" w:color="auto"/>
                                        <w:right w:val="none" w:sz="0" w:space="0" w:color="auto"/>
                                      </w:divBdr>
                                    </w:div>
                                    <w:div w:id="1702976241">
                                      <w:marLeft w:val="0"/>
                                      <w:marRight w:val="0"/>
                                      <w:marTop w:val="0"/>
                                      <w:marBottom w:val="0"/>
                                      <w:divBdr>
                                        <w:top w:val="none" w:sz="0" w:space="0" w:color="auto"/>
                                        <w:left w:val="none" w:sz="0" w:space="0" w:color="auto"/>
                                        <w:bottom w:val="none" w:sz="0" w:space="0" w:color="auto"/>
                                        <w:right w:val="none" w:sz="0" w:space="0" w:color="auto"/>
                                      </w:divBdr>
                                    </w:div>
                                    <w:div w:id="1748763820">
                                      <w:marLeft w:val="0"/>
                                      <w:marRight w:val="0"/>
                                      <w:marTop w:val="0"/>
                                      <w:marBottom w:val="0"/>
                                      <w:divBdr>
                                        <w:top w:val="none" w:sz="0" w:space="0" w:color="auto"/>
                                        <w:left w:val="none" w:sz="0" w:space="0" w:color="auto"/>
                                        <w:bottom w:val="none" w:sz="0" w:space="0" w:color="auto"/>
                                        <w:right w:val="none" w:sz="0" w:space="0" w:color="auto"/>
                                      </w:divBdr>
                                    </w:div>
                                    <w:div w:id="1405567720">
                                      <w:marLeft w:val="0"/>
                                      <w:marRight w:val="0"/>
                                      <w:marTop w:val="0"/>
                                      <w:marBottom w:val="0"/>
                                      <w:divBdr>
                                        <w:top w:val="none" w:sz="0" w:space="0" w:color="auto"/>
                                        <w:left w:val="none" w:sz="0" w:space="0" w:color="auto"/>
                                        <w:bottom w:val="none" w:sz="0" w:space="0" w:color="auto"/>
                                        <w:right w:val="none" w:sz="0" w:space="0" w:color="auto"/>
                                      </w:divBdr>
                                    </w:div>
                                    <w:div w:id="1476722749">
                                      <w:marLeft w:val="0"/>
                                      <w:marRight w:val="0"/>
                                      <w:marTop w:val="0"/>
                                      <w:marBottom w:val="0"/>
                                      <w:divBdr>
                                        <w:top w:val="none" w:sz="0" w:space="0" w:color="auto"/>
                                        <w:left w:val="none" w:sz="0" w:space="0" w:color="auto"/>
                                        <w:bottom w:val="none" w:sz="0" w:space="0" w:color="auto"/>
                                        <w:right w:val="none" w:sz="0" w:space="0" w:color="auto"/>
                                      </w:divBdr>
                                    </w:div>
                                    <w:div w:id="420838583">
                                      <w:marLeft w:val="0"/>
                                      <w:marRight w:val="0"/>
                                      <w:marTop w:val="0"/>
                                      <w:marBottom w:val="0"/>
                                      <w:divBdr>
                                        <w:top w:val="none" w:sz="0" w:space="0" w:color="auto"/>
                                        <w:left w:val="none" w:sz="0" w:space="0" w:color="auto"/>
                                        <w:bottom w:val="none" w:sz="0" w:space="0" w:color="auto"/>
                                        <w:right w:val="none" w:sz="0" w:space="0" w:color="auto"/>
                                      </w:divBdr>
                                    </w:div>
                                    <w:div w:id="679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3235">
      <w:bodyDiv w:val="1"/>
      <w:marLeft w:val="0"/>
      <w:marRight w:val="0"/>
      <w:marTop w:val="0"/>
      <w:marBottom w:val="0"/>
      <w:divBdr>
        <w:top w:val="none" w:sz="0" w:space="0" w:color="auto"/>
        <w:left w:val="none" w:sz="0" w:space="0" w:color="auto"/>
        <w:bottom w:val="none" w:sz="0" w:space="0" w:color="auto"/>
        <w:right w:val="none" w:sz="0" w:space="0" w:color="auto"/>
      </w:divBdr>
    </w:div>
    <w:div w:id="1192457385">
      <w:bodyDiv w:val="1"/>
      <w:marLeft w:val="0"/>
      <w:marRight w:val="0"/>
      <w:marTop w:val="0"/>
      <w:marBottom w:val="0"/>
      <w:divBdr>
        <w:top w:val="none" w:sz="0" w:space="0" w:color="auto"/>
        <w:left w:val="none" w:sz="0" w:space="0" w:color="auto"/>
        <w:bottom w:val="none" w:sz="0" w:space="0" w:color="auto"/>
        <w:right w:val="none" w:sz="0" w:space="0" w:color="auto"/>
      </w:divBdr>
    </w:div>
    <w:div w:id="1737432885">
      <w:bodyDiv w:val="1"/>
      <w:marLeft w:val="0"/>
      <w:marRight w:val="0"/>
      <w:marTop w:val="0"/>
      <w:marBottom w:val="0"/>
      <w:divBdr>
        <w:top w:val="none" w:sz="0" w:space="0" w:color="auto"/>
        <w:left w:val="none" w:sz="0" w:space="0" w:color="auto"/>
        <w:bottom w:val="none" w:sz="0" w:space="0" w:color="auto"/>
        <w:right w:val="none" w:sz="0" w:space="0" w:color="auto"/>
      </w:divBdr>
    </w:div>
    <w:div w:id="19419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louisiana.gov/page/disability-employment-initiati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B8E7-B1F2-4D55-9144-FF3FA51F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Links>
    <vt:vector size="18" baseType="variant">
      <vt:variant>
        <vt:i4>1900588</vt:i4>
      </vt:variant>
      <vt:variant>
        <vt:i4>6</vt:i4>
      </vt:variant>
      <vt:variant>
        <vt:i4>0</vt:i4>
      </vt:variant>
      <vt:variant>
        <vt:i4>5</vt:i4>
      </vt:variant>
      <vt:variant>
        <vt:lpwstr>http://gov.louisiana.gov/assets/Programs/GODA/SAME_Report.pdf</vt:lpwstr>
      </vt:variant>
      <vt:variant>
        <vt:lpwstr/>
      </vt:variant>
      <vt:variant>
        <vt:i4>4849668</vt:i4>
      </vt:variant>
      <vt:variant>
        <vt:i4>3</vt:i4>
      </vt:variant>
      <vt:variant>
        <vt:i4>0</vt:i4>
      </vt:variant>
      <vt:variant>
        <vt:i4>5</vt:i4>
      </vt:variant>
      <vt:variant>
        <vt:lpwstr>http://gov.louisiana.gov/assets/ExecutiveOrders/JBE-18-08.pdf</vt:lpwstr>
      </vt:variant>
      <vt:variant>
        <vt:lpwstr/>
      </vt:variant>
      <vt:variant>
        <vt:i4>1900588</vt:i4>
      </vt:variant>
      <vt:variant>
        <vt:i4>0</vt:i4>
      </vt:variant>
      <vt:variant>
        <vt:i4>0</vt:i4>
      </vt:variant>
      <vt:variant>
        <vt:i4>5</vt:i4>
      </vt:variant>
      <vt:variant>
        <vt:lpwstr>http://gov.louisiana.gov/assets/Programs/GODA/SAME_Report.pdf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 Jolivette</dc:creator>
  <cp:lastModifiedBy>Polotzola, Bambi</cp:lastModifiedBy>
  <cp:revision>5</cp:revision>
  <cp:lastPrinted>2018-09-11T20:13:00Z</cp:lastPrinted>
  <dcterms:created xsi:type="dcterms:W3CDTF">2021-03-02T18:56:00Z</dcterms:created>
  <dcterms:modified xsi:type="dcterms:W3CDTF">2021-05-13T13:11:00Z</dcterms:modified>
</cp:coreProperties>
</file>